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D5" w:rsidRPr="000F0BB5" w:rsidRDefault="00D4543A" w:rsidP="00D4543A">
      <w:pPr>
        <w:tabs>
          <w:tab w:val="left" w:pos="7938"/>
        </w:tabs>
        <w:spacing w:line="360" w:lineRule="exact"/>
        <w:rPr>
          <w:rFonts w:ascii="黑体" w:eastAsia="黑体" w:hAnsi="黑体"/>
          <w:sz w:val="32"/>
          <w:szCs w:val="28"/>
        </w:rPr>
      </w:pPr>
      <w:r w:rsidRPr="000F0BB5">
        <w:rPr>
          <w:rFonts w:ascii="黑体" w:eastAsia="黑体" w:hAnsi="黑体" w:hint="eastAsia"/>
          <w:sz w:val="32"/>
          <w:szCs w:val="28"/>
        </w:rPr>
        <w:t>附件</w:t>
      </w:r>
      <w:r w:rsidR="00D725AC">
        <w:rPr>
          <w:rFonts w:ascii="黑体" w:eastAsia="黑体" w:hAnsi="黑体"/>
          <w:sz w:val="32"/>
          <w:szCs w:val="28"/>
        </w:rPr>
        <w:t>1</w:t>
      </w:r>
      <w:bookmarkStart w:id="0" w:name="_GoBack"/>
      <w:bookmarkEnd w:id="0"/>
    </w:p>
    <w:p w:rsidR="00D4543A" w:rsidRPr="000F0BB5" w:rsidRDefault="00D4543A" w:rsidP="00D4543A">
      <w:pPr>
        <w:spacing w:afterLines="50" w:after="156"/>
        <w:jc w:val="center"/>
        <w:rPr>
          <w:rFonts w:ascii="方正小标宋简体" w:eastAsia="方正小标宋简体" w:hAnsi="宋体"/>
          <w:sz w:val="40"/>
          <w:szCs w:val="32"/>
        </w:rPr>
      </w:pPr>
      <w:r w:rsidRPr="000F0BB5">
        <w:rPr>
          <w:rFonts w:ascii="方正小标宋简体" w:eastAsia="方正小标宋简体" w:hAnsi="宋体" w:hint="eastAsia"/>
          <w:sz w:val="40"/>
          <w:szCs w:val="32"/>
        </w:rPr>
        <w:t>中国药学会20</w:t>
      </w:r>
      <w:r w:rsidR="00054E18" w:rsidRPr="000F0BB5">
        <w:rPr>
          <w:rFonts w:ascii="方正小标宋简体" w:eastAsia="方正小标宋简体" w:hAnsi="宋体"/>
          <w:sz w:val="40"/>
          <w:szCs w:val="32"/>
        </w:rPr>
        <w:t>21</w:t>
      </w:r>
      <w:r w:rsidR="00240524">
        <w:rPr>
          <w:rFonts w:ascii="方正小标宋简体" w:eastAsia="方正小标宋简体" w:hAnsi="宋体" w:hint="eastAsia"/>
          <w:sz w:val="40"/>
          <w:szCs w:val="32"/>
        </w:rPr>
        <w:t>年公开招聘编制外工作人员岗位</w:t>
      </w:r>
      <w:r w:rsidRPr="000F0BB5">
        <w:rPr>
          <w:rFonts w:ascii="方正小标宋简体" w:eastAsia="方正小标宋简体" w:hAnsi="宋体" w:hint="eastAsia"/>
          <w:sz w:val="40"/>
          <w:szCs w:val="32"/>
        </w:rPr>
        <w:t>信息表</w:t>
      </w:r>
    </w:p>
    <w:p w:rsidR="00054E18" w:rsidRPr="000F0BB5" w:rsidRDefault="007375D5" w:rsidP="00054E18">
      <w:pPr>
        <w:spacing w:afterLines="50" w:after="156" w:line="276" w:lineRule="auto"/>
        <w:rPr>
          <w:rFonts w:ascii="仿宋_GB2312" w:eastAsia="仿宋_GB2312" w:hAnsi="宋体"/>
          <w:sz w:val="24"/>
          <w:szCs w:val="32"/>
        </w:rPr>
      </w:pPr>
      <w:r w:rsidRPr="000F0BB5">
        <w:rPr>
          <w:rFonts w:ascii="仿宋_GB2312" w:eastAsia="仿宋_GB2312" w:hAnsi="宋体" w:hint="eastAsia"/>
          <w:sz w:val="32"/>
          <w:szCs w:val="32"/>
        </w:rPr>
        <w:t xml:space="preserve"> </w:t>
      </w:r>
      <w:r w:rsidRPr="000F0BB5">
        <w:rPr>
          <w:rFonts w:ascii="仿宋_GB2312" w:eastAsia="仿宋_GB2312" w:hAnsi="宋体"/>
          <w:sz w:val="32"/>
          <w:szCs w:val="32"/>
        </w:rPr>
        <w:t xml:space="preserve"> </w:t>
      </w:r>
      <w:r w:rsidRPr="000F0BB5">
        <w:rPr>
          <w:rFonts w:ascii="仿宋_GB2312" w:eastAsia="仿宋_GB2312" w:hAnsi="宋体"/>
          <w:sz w:val="40"/>
          <w:szCs w:val="32"/>
        </w:rPr>
        <w:t xml:space="preserve"> </w:t>
      </w:r>
      <w:r w:rsidRPr="000F0BB5">
        <w:rPr>
          <w:rFonts w:ascii="仿宋_GB2312" w:eastAsia="仿宋_GB2312" w:hAnsi="宋体" w:hint="eastAsia"/>
          <w:sz w:val="24"/>
          <w:szCs w:val="32"/>
        </w:rPr>
        <w:t>单位简介：中国药学会1907年成立，是我国成立最早的学术团体之一，是党和政府联系药学工作者的桥梁和纽带，是国家推动药学科学技术和民族医药事业健康发展</w:t>
      </w:r>
      <w:r w:rsidR="00BE19AA" w:rsidRPr="000F0BB5">
        <w:rPr>
          <w:rFonts w:ascii="仿宋_GB2312" w:eastAsia="仿宋_GB2312" w:hAnsi="宋体" w:hint="eastAsia"/>
          <w:sz w:val="24"/>
          <w:szCs w:val="32"/>
        </w:rPr>
        <w:t>、</w:t>
      </w:r>
      <w:r w:rsidRPr="000F0BB5">
        <w:rPr>
          <w:rFonts w:ascii="仿宋_GB2312" w:eastAsia="仿宋_GB2312" w:hAnsi="宋体" w:hint="eastAsia"/>
          <w:sz w:val="24"/>
          <w:szCs w:val="32"/>
        </w:rPr>
        <w:t>为公共健康服务的重要力量。主要职责：</w:t>
      </w:r>
      <w:r w:rsidR="0013594F" w:rsidRPr="000F0BB5">
        <w:rPr>
          <w:rFonts w:ascii="仿宋_GB2312" w:eastAsia="仿宋_GB2312" w:hAnsi="宋体" w:hint="eastAsia"/>
          <w:sz w:val="24"/>
          <w:szCs w:val="32"/>
        </w:rPr>
        <w:t>（一）开展药学科学技术的国际、国内交流，编辑出版发行药学学术期刊、书籍，发展同世界各国及地区药学团体、药学工作者的友好交往与合作；（二）举荐药学人才，表彰奖励在科学技术活动中取得优异成绩的会员和药学工作者；（三）组织开展对会员和药学工作者的继续教育培训；（四）开展药学以及相关学科科学技术知识的普及推广工作；（五）反映会员和药学工作者的意见和要求，维护会员和药学工作者的合法权益。建立和完善药学科学研究诚信监督机制；（六）组织会员和药学工作者参与国家有关的科学论证以及科技与经济咨询。组织开展团体标准制定等相关工作。开展医药科研成果中介服务。组织医药产品展览、推荐及宣传活动；（七）接受政府委托，承办与药学发展及药品监督管理等有关事项。承担会员和药学工作者服务相关工作；（八）承办国家局交办的其他事项。</w:t>
      </w:r>
      <w:r w:rsidRPr="000F0BB5">
        <w:rPr>
          <w:rFonts w:ascii="仿宋_GB2312" w:eastAsia="仿宋_GB2312" w:hAnsi="宋体" w:hint="eastAsia"/>
          <w:sz w:val="24"/>
          <w:szCs w:val="32"/>
        </w:rPr>
        <w:t>学会秘书处现有6个部室：办公室（</w:t>
      </w:r>
      <w:r w:rsidR="0013594F" w:rsidRPr="000F0BB5">
        <w:rPr>
          <w:rFonts w:ascii="仿宋_GB2312" w:eastAsia="仿宋_GB2312" w:hAnsi="宋体" w:hint="eastAsia"/>
          <w:sz w:val="24"/>
          <w:szCs w:val="32"/>
        </w:rPr>
        <w:t>人事党务处</w:t>
      </w:r>
      <w:r w:rsidRPr="000F0BB5">
        <w:rPr>
          <w:rFonts w:ascii="仿宋_GB2312" w:eastAsia="仿宋_GB2312" w:hAnsi="宋体" w:hint="eastAsia"/>
          <w:sz w:val="24"/>
          <w:szCs w:val="32"/>
        </w:rPr>
        <w:t>）、</w:t>
      </w:r>
      <w:r w:rsidR="008915F3" w:rsidRPr="000F0BB5">
        <w:rPr>
          <w:rFonts w:ascii="仿宋_GB2312" w:eastAsia="仿宋_GB2312" w:hAnsi="宋体" w:hint="eastAsia"/>
          <w:sz w:val="24"/>
          <w:szCs w:val="32"/>
        </w:rPr>
        <w:t>会员服务部、</w:t>
      </w:r>
      <w:r w:rsidRPr="000F0BB5">
        <w:rPr>
          <w:rFonts w:ascii="仿宋_GB2312" w:eastAsia="仿宋_GB2312" w:hAnsi="宋体" w:hint="eastAsia"/>
          <w:sz w:val="24"/>
          <w:szCs w:val="32"/>
        </w:rPr>
        <w:t>学术部（</w:t>
      </w:r>
      <w:r w:rsidR="0013594F" w:rsidRPr="000F0BB5">
        <w:rPr>
          <w:rFonts w:ascii="仿宋_GB2312" w:eastAsia="仿宋_GB2312" w:hAnsi="宋体" w:hint="eastAsia"/>
          <w:sz w:val="24"/>
          <w:szCs w:val="32"/>
        </w:rPr>
        <w:t>继续教育部</w:t>
      </w:r>
      <w:r w:rsidRPr="000F0BB5">
        <w:rPr>
          <w:rFonts w:ascii="仿宋_GB2312" w:eastAsia="仿宋_GB2312" w:hAnsi="宋体" w:hint="eastAsia"/>
          <w:sz w:val="24"/>
          <w:szCs w:val="32"/>
        </w:rPr>
        <w:t>）、编辑出版部</w:t>
      </w:r>
      <w:r w:rsidR="0013594F" w:rsidRPr="000F0BB5">
        <w:rPr>
          <w:rFonts w:ascii="仿宋_GB2312" w:eastAsia="仿宋_GB2312" w:hAnsi="宋体" w:hint="eastAsia"/>
          <w:sz w:val="24"/>
          <w:szCs w:val="32"/>
        </w:rPr>
        <w:t>（科学普及部）</w:t>
      </w:r>
      <w:r w:rsidRPr="000F0BB5">
        <w:rPr>
          <w:rFonts w:ascii="仿宋_GB2312" w:eastAsia="仿宋_GB2312" w:hAnsi="宋体" w:hint="eastAsia"/>
          <w:sz w:val="24"/>
          <w:szCs w:val="32"/>
        </w:rPr>
        <w:t>、</w:t>
      </w:r>
      <w:r w:rsidR="0013594F" w:rsidRPr="000F0BB5">
        <w:rPr>
          <w:rFonts w:ascii="仿宋_GB2312" w:eastAsia="仿宋_GB2312" w:hAnsi="宋体" w:hint="eastAsia"/>
          <w:sz w:val="24"/>
          <w:szCs w:val="32"/>
        </w:rPr>
        <w:t>国际合作部</w:t>
      </w:r>
      <w:r w:rsidRPr="000F0BB5">
        <w:rPr>
          <w:rFonts w:ascii="仿宋_GB2312" w:eastAsia="仿宋_GB2312" w:hAnsi="宋体" w:hint="eastAsia"/>
          <w:sz w:val="24"/>
          <w:szCs w:val="32"/>
        </w:rPr>
        <w:t>（</w:t>
      </w:r>
      <w:r w:rsidR="0013594F" w:rsidRPr="000F0BB5">
        <w:rPr>
          <w:rFonts w:ascii="仿宋_GB2312" w:eastAsia="仿宋_GB2312" w:hAnsi="宋体" w:hint="eastAsia"/>
          <w:sz w:val="24"/>
          <w:szCs w:val="32"/>
        </w:rPr>
        <w:t>科技评价与团体标准部</w:t>
      </w:r>
      <w:r w:rsidRPr="000F0BB5">
        <w:rPr>
          <w:rFonts w:ascii="仿宋_GB2312" w:eastAsia="仿宋_GB2312" w:hAnsi="宋体" w:hint="eastAsia"/>
          <w:sz w:val="24"/>
          <w:szCs w:val="32"/>
        </w:rPr>
        <w:t>）、财务部。</w:t>
      </w:r>
      <w:r w:rsidR="00054E18" w:rsidRPr="000F0BB5">
        <w:rPr>
          <w:rFonts w:ascii="仿宋_GB2312" w:eastAsia="仿宋_GB2312" w:hAnsi="宋体" w:hint="eastAsia"/>
          <w:sz w:val="24"/>
          <w:szCs w:val="32"/>
        </w:rPr>
        <w:t>学会现有</w:t>
      </w:r>
      <w:r w:rsidR="00054E18" w:rsidRPr="000F0BB5">
        <w:rPr>
          <w:rFonts w:ascii="仿宋_GB2312" w:eastAsia="仿宋_GB2312" w:hAnsi="宋体"/>
          <w:sz w:val="24"/>
          <w:szCs w:val="32"/>
        </w:rPr>
        <w:t>3个经济实体：中国药学会科技开发中心、《中国药学杂志》社有限公司</w:t>
      </w:r>
      <w:r w:rsidR="00054E18" w:rsidRPr="000F0BB5">
        <w:rPr>
          <w:rFonts w:ascii="仿宋_GB2312" w:eastAsia="仿宋_GB2312" w:hAnsi="宋体" w:hint="eastAsia"/>
          <w:sz w:val="24"/>
          <w:szCs w:val="32"/>
        </w:rPr>
        <w:t>、《中国新药杂志》有限</w:t>
      </w:r>
      <w:r w:rsidR="00054E18" w:rsidRPr="000F0BB5">
        <w:rPr>
          <w:rFonts w:ascii="仿宋_GB2312" w:eastAsia="仿宋_GB2312" w:hAnsi="宋体"/>
          <w:sz w:val="24"/>
          <w:szCs w:val="32"/>
        </w:rPr>
        <w:t>公司。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262"/>
        <w:gridCol w:w="575"/>
        <w:gridCol w:w="4486"/>
        <w:gridCol w:w="1150"/>
        <w:gridCol w:w="1607"/>
        <w:gridCol w:w="1607"/>
        <w:gridCol w:w="2671"/>
      </w:tblGrid>
      <w:tr w:rsidR="00333843" w:rsidRPr="000F0BB5" w:rsidTr="00333843">
        <w:trPr>
          <w:trHeight w:val="646"/>
        </w:trPr>
        <w:tc>
          <w:tcPr>
            <w:tcW w:w="238"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岗位代码</w:t>
            </w:r>
          </w:p>
        </w:tc>
        <w:tc>
          <w:tcPr>
            <w:tcW w:w="450"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岗位</w:t>
            </w:r>
          </w:p>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名称</w:t>
            </w:r>
          </w:p>
        </w:tc>
        <w:tc>
          <w:tcPr>
            <w:tcW w:w="205"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招聘</w:t>
            </w:r>
          </w:p>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人数</w:t>
            </w:r>
          </w:p>
        </w:tc>
        <w:tc>
          <w:tcPr>
            <w:tcW w:w="1599"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专业</w:t>
            </w:r>
          </w:p>
        </w:tc>
        <w:tc>
          <w:tcPr>
            <w:tcW w:w="410"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学历</w:t>
            </w:r>
          </w:p>
        </w:tc>
        <w:tc>
          <w:tcPr>
            <w:tcW w:w="573"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应届毕业生或</w:t>
            </w:r>
            <w:r w:rsidRPr="000F0BB5">
              <w:rPr>
                <w:rFonts w:ascii="仿宋_GB2312" w:eastAsia="仿宋_GB2312"/>
                <w:b/>
                <w:sz w:val="24"/>
              </w:rPr>
              <w:t>社会在职人员</w:t>
            </w:r>
          </w:p>
        </w:tc>
        <w:tc>
          <w:tcPr>
            <w:tcW w:w="573"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年龄条件</w:t>
            </w:r>
          </w:p>
        </w:tc>
        <w:tc>
          <w:tcPr>
            <w:tcW w:w="952" w:type="pct"/>
            <w:vAlign w:val="center"/>
          </w:tcPr>
          <w:p w:rsidR="00333843" w:rsidRPr="000F0BB5" w:rsidRDefault="00333843" w:rsidP="00333843">
            <w:pPr>
              <w:jc w:val="center"/>
              <w:rPr>
                <w:rFonts w:ascii="仿宋_GB2312" w:eastAsia="仿宋_GB2312"/>
                <w:b/>
                <w:sz w:val="24"/>
              </w:rPr>
            </w:pPr>
            <w:r w:rsidRPr="000F0BB5">
              <w:rPr>
                <w:rFonts w:ascii="仿宋_GB2312" w:eastAsia="仿宋_GB2312" w:hint="eastAsia"/>
                <w:b/>
                <w:sz w:val="24"/>
              </w:rPr>
              <w:t>其他条件</w:t>
            </w:r>
          </w:p>
        </w:tc>
      </w:tr>
      <w:tr w:rsidR="000F0BB5" w:rsidRPr="000F0BB5" w:rsidTr="00333843">
        <w:trPr>
          <w:trHeight w:val="794"/>
        </w:trPr>
        <w:tc>
          <w:tcPr>
            <w:tcW w:w="238" w:type="pct"/>
            <w:vAlign w:val="center"/>
          </w:tcPr>
          <w:p w:rsidR="000F0BB5" w:rsidRPr="000F0BB5" w:rsidRDefault="000F0BB5" w:rsidP="000F0BB5">
            <w:pPr>
              <w:jc w:val="center"/>
              <w:rPr>
                <w:rFonts w:ascii="仿宋_GB2312" w:eastAsia="仿宋_GB2312"/>
                <w:sz w:val="24"/>
              </w:rPr>
            </w:pPr>
            <w:r w:rsidRPr="000F0BB5">
              <w:rPr>
                <w:rFonts w:ascii="仿宋_GB2312" w:eastAsia="仿宋_GB2312"/>
                <w:sz w:val="24"/>
              </w:rPr>
              <w:t>03</w:t>
            </w:r>
          </w:p>
        </w:tc>
        <w:tc>
          <w:tcPr>
            <w:tcW w:w="45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会员服务岗</w:t>
            </w:r>
          </w:p>
        </w:tc>
        <w:tc>
          <w:tcPr>
            <w:tcW w:w="205"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sz w:val="24"/>
              </w:rPr>
              <w:t>1</w:t>
            </w:r>
          </w:p>
        </w:tc>
        <w:tc>
          <w:tcPr>
            <w:tcW w:w="1599"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基础医学类、</w:t>
            </w:r>
            <w:r w:rsidRPr="000F0BB5">
              <w:rPr>
                <w:rFonts w:ascii="仿宋_GB2312" w:eastAsia="仿宋_GB2312"/>
                <w:sz w:val="24"/>
              </w:rPr>
              <w:t>临床医学类、</w:t>
            </w:r>
            <w:r w:rsidRPr="000F0BB5">
              <w:rPr>
                <w:rFonts w:ascii="仿宋_GB2312" w:eastAsia="仿宋_GB2312" w:hint="eastAsia"/>
                <w:sz w:val="24"/>
              </w:rPr>
              <w:t>公共卫生与预防医学类</w:t>
            </w:r>
            <w:r w:rsidRPr="000F0BB5">
              <w:rPr>
                <w:rFonts w:ascii="仿宋_GB2312" w:eastAsia="仿宋_GB2312"/>
                <w:sz w:val="24"/>
              </w:rPr>
              <w:t>、中医学</w:t>
            </w:r>
            <w:r w:rsidRPr="000F0BB5">
              <w:rPr>
                <w:rFonts w:ascii="仿宋_GB2312" w:eastAsia="仿宋_GB2312" w:hint="eastAsia"/>
                <w:sz w:val="24"/>
              </w:rPr>
              <w:t>类</w:t>
            </w:r>
            <w:r w:rsidRPr="000F0BB5">
              <w:rPr>
                <w:rFonts w:ascii="仿宋_GB2312" w:eastAsia="仿宋_GB2312"/>
                <w:sz w:val="24"/>
              </w:rPr>
              <w:t>、中西医结合类、</w:t>
            </w:r>
            <w:r w:rsidRPr="000F0BB5">
              <w:rPr>
                <w:rFonts w:ascii="仿宋_GB2312" w:eastAsia="仿宋_GB2312" w:hint="eastAsia"/>
                <w:sz w:val="24"/>
              </w:rPr>
              <w:t>药学类</w:t>
            </w:r>
            <w:r w:rsidRPr="000F0BB5">
              <w:rPr>
                <w:rFonts w:ascii="仿宋_GB2312" w:eastAsia="仿宋_GB2312"/>
                <w:sz w:val="24"/>
              </w:rPr>
              <w:t>、中药学类</w:t>
            </w:r>
            <w:r w:rsidRPr="000F0BB5">
              <w:rPr>
                <w:rFonts w:ascii="仿宋_GB2312" w:eastAsia="仿宋_GB2312" w:hint="eastAsia"/>
                <w:sz w:val="24"/>
              </w:rPr>
              <w:t>、</w:t>
            </w:r>
            <w:r w:rsidRPr="000F0BB5">
              <w:rPr>
                <w:rFonts w:ascii="仿宋_GB2312" w:eastAsia="仿宋_GB2312"/>
                <w:sz w:val="24"/>
              </w:rPr>
              <w:t>化学类</w:t>
            </w:r>
            <w:r w:rsidRPr="000F0BB5">
              <w:rPr>
                <w:rFonts w:ascii="仿宋_GB2312" w:eastAsia="仿宋_GB2312" w:hint="eastAsia"/>
                <w:sz w:val="24"/>
              </w:rPr>
              <w:t>、生物医学工程类、行政管理专业、社会医学与卫生事业管理专业</w:t>
            </w:r>
          </w:p>
        </w:tc>
        <w:tc>
          <w:tcPr>
            <w:tcW w:w="41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硕士及以上</w:t>
            </w:r>
          </w:p>
        </w:tc>
        <w:tc>
          <w:tcPr>
            <w:tcW w:w="573" w:type="pct"/>
            <w:vAlign w:val="center"/>
          </w:tcPr>
          <w:p w:rsidR="000F0BB5" w:rsidRPr="000F0BB5" w:rsidRDefault="000F0BB5" w:rsidP="000F0BB5">
            <w:pPr>
              <w:pStyle w:val="af1"/>
              <w:snapToGrid w:val="0"/>
              <w:ind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应届毕业生</w:t>
            </w:r>
          </w:p>
        </w:tc>
        <w:tc>
          <w:tcPr>
            <w:tcW w:w="573" w:type="pct"/>
            <w:vAlign w:val="center"/>
          </w:tcPr>
          <w:p w:rsidR="000F0BB5" w:rsidRPr="000F0BB5" w:rsidRDefault="000F0BB5" w:rsidP="000F0BB5">
            <w:pPr>
              <w:pStyle w:val="af1"/>
              <w:snapToGrid w:val="0"/>
              <w:ind w:firstLineChars="0" w:firstLine="0"/>
              <w:contextualSpacing/>
              <w:rPr>
                <w:rFonts w:ascii="仿宋_GB2312" w:eastAsia="仿宋_GB2312" w:hAnsi="Times New Roman"/>
                <w:sz w:val="24"/>
                <w:szCs w:val="24"/>
              </w:rPr>
            </w:pPr>
            <w:r w:rsidRPr="000F0BB5">
              <w:rPr>
                <w:rFonts w:ascii="仿宋_GB2312" w:eastAsia="仿宋_GB2312" w:hAnsi="Times New Roman" w:hint="eastAsia"/>
                <w:sz w:val="24"/>
                <w:szCs w:val="24"/>
              </w:rPr>
              <w:t>30周岁及以下</w:t>
            </w:r>
          </w:p>
        </w:tc>
        <w:tc>
          <w:tcPr>
            <w:tcW w:w="952" w:type="pct"/>
            <w:vAlign w:val="center"/>
          </w:tcPr>
          <w:p w:rsidR="000F0BB5" w:rsidRPr="000F0BB5" w:rsidRDefault="000F0BB5" w:rsidP="000F0BB5">
            <w:pPr>
              <w:pStyle w:val="af1"/>
              <w:snapToGrid w:val="0"/>
              <w:ind w:firstLineChars="0" w:firstLine="0"/>
              <w:contextualSpacing/>
              <w:rPr>
                <w:rFonts w:ascii="仿宋_GB2312" w:eastAsia="仿宋_GB2312" w:hAnsi="Times New Roman"/>
                <w:sz w:val="24"/>
                <w:szCs w:val="24"/>
              </w:rPr>
            </w:pPr>
            <w:r w:rsidRPr="000F0BB5">
              <w:rPr>
                <w:rFonts w:ascii="仿宋_GB2312" w:eastAsia="仿宋_GB2312" w:hAnsi="Times New Roman" w:hint="eastAsia"/>
                <w:sz w:val="24"/>
                <w:szCs w:val="24"/>
              </w:rPr>
              <w:t>具有</w:t>
            </w:r>
            <w:r w:rsidRPr="000F0BB5">
              <w:rPr>
                <w:rFonts w:ascii="仿宋_GB2312" w:eastAsia="仿宋_GB2312" w:hAnsi="Times New Roman"/>
                <w:sz w:val="24"/>
                <w:szCs w:val="24"/>
              </w:rPr>
              <w:t>较强的</w:t>
            </w:r>
            <w:r w:rsidRPr="000F0BB5">
              <w:rPr>
                <w:rFonts w:ascii="仿宋_GB2312" w:eastAsia="仿宋_GB2312" w:hAnsi="Times New Roman" w:hint="eastAsia"/>
                <w:sz w:val="24"/>
                <w:szCs w:val="24"/>
              </w:rPr>
              <w:t>文字功底</w:t>
            </w:r>
          </w:p>
        </w:tc>
      </w:tr>
      <w:tr w:rsidR="000F0BB5" w:rsidRPr="000F0BB5" w:rsidTr="00333843">
        <w:trPr>
          <w:trHeight w:val="794"/>
        </w:trPr>
        <w:tc>
          <w:tcPr>
            <w:tcW w:w="238" w:type="pct"/>
            <w:vAlign w:val="center"/>
          </w:tcPr>
          <w:p w:rsidR="000F0BB5" w:rsidRPr="000F0BB5" w:rsidRDefault="000F0BB5" w:rsidP="000F0BB5">
            <w:pPr>
              <w:jc w:val="center"/>
              <w:rPr>
                <w:rFonts w:ascii="仿宋_GB2312" w:eastAsia="仿宋_GB2312"/>
                <w:sz w:val="24"/>
              </w:rPr>
            </w:pPr>
            <w:r w:rsidRPr="000F0BB5">
              <w:rPr>
                <w:rFonts w:ascii="仿宋_GB2312" w:eastAsia="仿宋_GB2312" w:hint="eastAsia"/>
                <w:sz w:val="24"/>
              </w:rPr>
              <w:t>0</w:t>
            </w:r>
            <w:r w:rsidRPr="000F0BB5">
              <w:rPr>
                <w:rFonts w:ascii="仿宋_GB2312" w:eastAsia="仿宋_GB2312"/>
                <w:sz w:val="24"/>
              </w:rPr>
              <w:t>4</w:t>
            </w:r>
          </w:p>
        </w:tc>
        <w:tc>
          <w:tcPr>
            <w:tcW w:w="45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编辑岗</w:t>
            </w:r>
          </w:p>
        </w:tc>
        <w:tc>
          <w:tcPr>
            <w:tcW w:w="205"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1</w:t>
            </w:r>
          </w:p>
        </w:tc>
        <w:tc>
          <w:tcPr>
            <w:tcW w:w="1599"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基础医学类、</w:t>
            </w:r>
            <w:r w:rsidRPr="000F0BB5">
              <w:rPr>
                <w:rFonts w:ascii="仿宋_GB2312" w:eastAsia="仿宋_GB2312"/>
                <w:sz w:val="24"/>
              </w:rPr>
              <w:t>临床医学类、</w:t>
            </w:r>
            <w:r w:rsidRPr="000F0BB5">
              <w:rPr>
                <w:rFonts w:ascii="仿宋_GB2312" w:eastAsia="仿宋_GB2312" w:hint="eastAsia"/>
                <w:sz w:val="24"/>
              </w:rPr>
              <w:t>公共卫生与预防医学类</w:t>
            </w:r>
            <w:r w:rsidRPr="000F0BB5">
              <w:rPr>
                <w:rFonts w:ascii="仿宋_GB2312" w:eastAsia="仿宋_GB2312"/>
                <w:sz w:val="24"/>
              </w:rPr>
              <w:t>、中医学</w:t>
            </w:r>
            <w:r w:rsidRPr="000F0BB5">
              <w:rPr>
                <w:rFonts w:ascii="仿宋_GB2312" w:eastAsia="仿宋_GB2312" w:hint="eastAsia"/>
                <w:sz w:val="24"/>
              </w:rPr>
              <w:t>类</w:t>
            </w:r>
            <w:r w:rsidRPr="000F0BB5">
              <w:rPr>
                <w:rFonts w:ascii="仿宋_GB2312" w:eastAsia="仿宋_GB2312"/>
                <w:sz w:val="24"/>
              </w:rPr>
              <w:t>、中西医结合类、</w:t>
            </w:r>
            <w:r w:rsidRPr="000F0BB5">
              <w:rPr>
                <w:rFonts w:ascii="仿宋_GB2312" w:eastAsia="仿宋_GB2312" w:hint="eastAsia"/>
                <w:sz w:val="24"/>
              </w:rPr>
              <w:t>药学类</w:t>
            </w:r>
            <w:r w:rsidRPr="000F0BB5">
              <w:rPr>
                <w:rFonts w:ascii="仿宋_GB2312" w:eastAsia="仿宋_GB2312"/>
                <w:sz w:val="24"/>
              </w:rPr>
              <w:t>、中药学类</w:t>
            </w:r>
            <w:r w:rsidRPr="000F0BB5">
              <w:rPr>
                <w:rFonts w:ascii="仿宋_GB2312" w:eastAsia="仿宋_GB2312" w:hint="eastAsia"/>
                <w:sz w:val="24"/>
              </w:rPr>
              <w:t>、</w:t>
            </w:r>
            <w:r w:rsidRPr="000F0BB5">
              <w:rPr>
                <w:rFonts w:ascii="仿宋_GB2312" w:eastAsia="仿宋_GB2312"/>
                <w:sz w:val="24"/>
              </w:rPr>
              <w:t>化学类</w:t>
            </w:r>
            <w:r w:rsidRPr="000F0BB5">
              <w:rPr>
                <w:rFonts w:ascii="仿宋_GB2312" w:eastAsia="仿宋_GB2312" w:hint="eastAsia"/>
                <w:sz w:val="24"/>
              </w:rPr>
              <w:t>、生物医学工程类</w:t>
            </w:r>
          </w:p>
        </w:tc>
        <w:tc>
          <w:tcPr>
            <w:tcW w:w="41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硕士及以上</w:t>
            </w:r>
          </w:p>
        </w:tc>
        <w:tc>
          <w:tcPr>
            <w:tcW w:w="573" w:type="pct"/>
            <w:vAlign w:val="center"/>
          </w:tcPr>
          <w:p w:rsidR="000F0BB5" w:rsidRPr="000F0BB5" w:rsidRDefault="000F0BB5" w:rsidP="000F0BB5">
            <w:pPr>
              <w:pStyle w:val="af1"/>
              <w:snapToGrid w:val="0"/>
              <w:ind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社会在职</w:t>
            </w:r>
            <w:r w:rsidRPr="000F0BB5">
              <w:rPr>
                <w:rFonts w:ascii="仿宋_GB2312" w:eastAsia="仿宋_GB2312" w:hAnsi="Times New Roman"/>
                <w:sz w:val="24"/>
                <w:szCs w:val="24"/>
              </w:rPr>
              <w:t>人员</w:t>
            </w:r>
          </w:p>
        </w:tc>
        <w:tc>
          <w:tcPr>
            <w:tcW w:w="573" w:type="pct"/>
            <w:vAlign w:val="center"/>
          </w:tcPr>
          <w:p w:rsidR="000F0BB5" w:rsidRPr="000F0BB5" w:rsidRDefault="000F0BB5" w:rsidP="000F0BB5">
            <w:pPr>
              <w:pStyle w:val="af1"/>
              <w:snapToGrid w:val="0"/>
              <w:ind w:firstLineChars="0" w:firstLine="0"/>
              <w:contextualSpacing/>
              <w:rPr>
                <w:rFonts w:ascii="仿宋_GB2312" w:eastAsia="仿宋_GB2312" w:hAnsi="Times New Roman"/>
                <w:sz w:val="24"/>
                <w:szCs w:val="24"/>
              </w:rPr>
            </w:pPr>
            <w:r w:rsidRPr="000F0BB5">
              <w:rPr>
                <w:rFonts w:ascii="仿宋_GB2312" w:eastAsia="仿宋_GB2312" w:hAnsi="Times New Roman" w:hint="eastAsia"/>
                <w:sz w:val="24"/>
                <w:szCs w:val="24"/>
              </w:rPr>
              <w:t>35周岁及</w:t>
            </w:r>
            <w:r w:rsidRPr="000F0BB5">
              <w:rPr>
                <w:rFonts w:ascii="仿宋_GB2312" w:eastAsia="仿宋_GB2312" w:hAnsi="Times New Roman"/>
                <w:sz w:val="24"/>
                <w:szCs w:val="24"/>
              </w:rPr>
              <w:t>以下</w:t>
            </w:r>
          </w:p>
          <w:p w:rsidR="000F0BB5" w:rsidRPr="000F0BB5" w:rsidRDefault="000F0BB5" w:rsidP="000F0BB5">
            <w:pPr>
              <w:pStyle w:val="af1"/>
              <w:snapToGrid w:val="0"/>
              <w:ind w:left="373" w:firstLineChars="0" w:firstLine="0"/>
              <w:contextualSpacing/>
              <w:jc w:val="center"/>
              <w:rPr>
                <w:rFonts w:ascii="仿宋_GB2312" w:eastAsia="仿宋_GB2312" w:hAnsi="Times New Roman"/>
                <w:sz w:val="24"/>
                <w:szCs w:val="24"/>
              </w:rPr>
            </w:pPr>
          </w:p>
        </w:tc>
        <w:tc>
          <w:tcPr>
            <w:tcW w:w="952" w:type="pct"/>
            <w:vAlign w:val="center"/>
          </w:tcPr>
          <w:p w:rsidR="000F0BB5" w:rsidRPr="000F0BB5" w:rsidRDefault="000F0BB5" w:rsidP="000F0BB5">
            <w:pPr>
              <w:pStyle w:val="af1"/>
              <w:snapToGrid w:val="0"/>
              <w:ind w:firstLineChars="0" w:firstLine="0"/>
              <w:contextualSpacing/>
              <w:rPr>
                <w:rFonts w:ascii="仿宋_GB2312" w:eastAsia="仿宋_GB2312" w:hAnsi="Times New Roman"/>
                <w:sz w:val="24"/>
                <w:szCs w:val="24"/>
              </w:rPr>
            </w:pPr>
            <w:r w:rsidRPr="000F0BB5">
              <w:rPr>
                <w:rFonts w:ascii="仿宋_GB2312" w:eastAsia="仿宋_GB2312" w:hAnsi="Times New Roman" w:hint="eastAsia"/>
                <w:sz w:val="24"/>
                <w:szCs w:val="24"/>
              </w:rPr>
              <w:t>具有</w:t>
            </w:r>
            <w:r w:rsidRPr="000F0BB5">
              <w:rPr>
                <w:rFonts w:ascii="仿宋_GB2312" w:eastAsia="仿宋_GB2312" w:hAnsi="Times New Roman"/>
                <w:sz w:val="24"/>
                <w:szCs w:val="24"/>
              </w:rPr>
              <w:t>编辑从业资格证</w:t>
            </w:r>
            <w:r w:rsidRPr="000F0BB5">
              <w:rPr>
                <w:rFonts w:ascii="仿宋_GB2312" w:eastAsia="仿宋_GB2312" w:hAnsi="Times New Roman" w:hint="eastAsia"/>
                <w:sz w:val="24"/>
                <w:szCs w:val="24"/>
              </w:rPr>
              <w:t>优先</w:t>
            </w:r>
          </w:p>
        </w:tc>
      </w:tr>
      <w:tr w:rsidR="000F0BB5" w:rsidRPr="000F0BB5" w:rsidTr="00333843">
        <w:trPr>
          <w:trHeight w:val="794"/>
        </w:trPr>
        <w:tc>
          <w:tcPr>
            <w:tcW w:w="238" w:type="pct"/>
            <w:vAlign w:val="center"/>
          </w:tcPr>
          <w:p w:rsidR="000F0BB5" w:rsidRPr="000F0BB5" w:rsidRDefault="000F0BB5" w:rsidP="000F0BB5">
            <w:pPr>
              <w:jc w:val="center"/>
              <w:rPr>
                <w:rFonts w:ascii="仿宋_GB2312" w:eastAsia="仿宋_GB2312"/>
                <w:sz w:val="24"/>
              </w:rPr>
            </w:pPr>
            <w:r w:rsidRPr="000F0BB5">
              <w:rPr>
                <w:rFonts w:ascii="仿宋_GB2312" w:eastAsia="仿宋_GB2312" w:hint="eastAsia"/>
                <w:sz w:val="24"/>
              </w:rPr>
              <w:lastRenderedPageBreak/>
              <w:t>0</w:t>
            </w:r>
            <w:r w:rsidRPr="000F0BB5">
              <w:rPr>
                <w:rFonts w:ascii="仿宋_GB2312" w:eastAsia="仿宋_GB2312"/>
                <w:sz w:val="24"/>
              </w:rPr>
              <w:t>5</w:t>
            </w:r>
          </w:p>
        </w:tc>
        <w:tc>
          <w:tcPr>
            <w:tcW w:w="45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国际交流岗</w:t>
            </w:r>
          </w:p>
        </w:tc>
        <w:tc>
          <w:tcPr>
            <w:tcW w:w="205"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1</w:t>
            </w:r>
          </w:p>
        </w:tc>
        <w:tc>
          <w:tcPr>
            <w:tcW w:w="1599"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基础医学类、</w:t>
            </w:r>
            <w:r w:rsidRPr="000F0BB5">
              <w:rPr>
                <w:rFonts w:ascii="仿宋_GB2312" w:eastAsia="仿宋_GB2312"/>
                <w:sz w:val="24"/>
              </w:rPr>
              <w:t>临床医学类、</w:t>
            </w:r>
            <w:r w:rsidRPr="000F0BB5">
              <w:rPr>
                <w:rFonts w:ascii="仿宋_GB2312" w:eastAsia="仿宋_GB2312" w:hint="eastAsia"/>
                <w:sz w:val="24"/>
              </w:rPr>
              <w:t>公共卫生与预防医学类</w:t>
            </w:r>
            <w:r w:rsidRPr="000F0BB5">
              <w:rPr>
                <w:rFonts w:ascii="仿宋_GB2312" w:eastAsia="仿宋_GB2312"/>
                <w:sz w:val="24"/>
              </w:rPr>
              <w:t>、中医学</w:t>
            </w:r>
            <w:r w:rsidRPr="000F0BB5">
              <w:rPr>
                <w:rFonts w:ascii="仿宋_GB2312" w:eastAsia="仿宋_GB2312" w:hint="eastAsia"/>
                <w:sz w:val="24"/>
              </w:rPr>
              <w:t>类</w:t>
            </w:r>
            <w:r w:rsidRPr="000F0BB5">
              <w:rPr>
                <w:rFonts w:ascii="仿宋_GB2312" w:eastAsia="仿宋_GB2312"/>
                <w:sz w:val="24"/>
              </w:rPr>
              <w:t>、中西医结合类、</w:t>
            </w:r>
            <w:r w:rsidRPr="000F0BB5">
              <w:rPr>
                <w:rFonts w:ascii="仿宋_GB2312" w:eastAsia="仿宋_GB2312" w:hint="eastAsia"/>
                <w:sz w:val="24"/>
              </w:rPr>
              <w:t>药学类</w:t>
            </w:r>
            <w:r w:rsidRPr="000F0BB5">
              <w:rPr>
                <w:rFonts w:ascii="仿宋_GB2312" w:eastAsia="仿宋_GB2312"/>
                <w:sz w:val="24"/>
              </w:rPr>
              <w:t>、中药学类</w:t>
            </w:r>
            <w:r w:rsidRPr="000F0BB5">
              <w:rPr>
                <w:rFonts w:ascii="仿宋_GB2312" w:eastAsia="仿宋_GB2312" w:hint="eastAsia"/>
                <w:sz w:val="24"/>
              </w:rPr>
              <w:t>、</w:t>
            </w:r>
            <w:r w:rsidRPr="000F0BB5">
              <w:rPr>
                <w:rFonts w:ascii="仿宋_GB2312" w:eastAsia="仿宋_GB2312"/>
                <w:sz w:val="24"/>
              </w:rPr>
              <w:t>化学类</w:t>
            </w:r>
            <w:r w:rsidRPr="000F0BB5">
              <w:rPr>
                <w:rFonts w:ascii="仿宋_GB2312" w:eastAsia="仿宋_GB2312" w:hint="eastAsia"/>
                <w:sz w:val="24"/>
              </w:rPr>
              <w:t>、生物医学工程类</w:t>
            </w:r>
          </w:p>
        </w:tc>
        <w:tc>
          <w:tcPr>
            <w:tcW w:w="41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硕士及以上</w:t>
            </w:r>
          </w:p>
        </w:tc>
        <w:tc>
          <w:tcPr>
            <w:tcW w:w="573" w:type="pct"/>
            <w:vAlign w:val="center"/>
          </w:tcPr>
          <w:p w:rsidR="000F0BB5" w:rsidRPr="000F0BB5" w:rsidRDefault="000F0BB5" w:rsidP="000F0BB5">
            <w:pPr>
              <w:pStyle w:val="af1"/>
              <w:snapToGrid w:val="0"/>
              <w:ind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应届毕业生或社会在职</w:t>
            </w:r>
            <w:r w:rsidRPr="000F0BB5">
              <w:rPr>
                <w:rFonts w:ascii="仿宋_GB2312" w:eastAsia="仿宋_GB2312" w:hAnsi="Times New Roman"/>
                <w:sz w:val="24"/>
                <w:szCs w:val="24"/>
              </w:rPr>
              <w:t>人员</w:t>
            </w:r>
          </w:p>
        </w:tc>
        <w:tc>
          <w:tcPr>
            <w:tcW w:w="573" w:type="pct"/>
            <w:vAlign w:val="center"/>
          </w:tcPr>
          <w:p w:rsidR="000F0BB5" w:rsidRPr="000F0BB5" w:rsidRDefault="000F0BB5" w:rsidP="000F0BB5">
            <w:pPr>
              <w:pStyle w:val="af1"/>
              <w:snapToGrid w:val="0"/>
              <w:ind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35周岁及</w:t>
            </w:r>
            <w:r w:rsidRPr="000F0BB5">
              <w:rPr>
                <w:rFonts w:ascii="仿宋_GB2312" w:eastAsia="仿宋_GB2312" w:hAnsi="Times New Roman"/>
                <w:sz w:val="24"/>
                <w:szCs w:val="24"/>
              </w:rPr>
              <w:t>以下</w:t>
            </w:r>
          </w:p>
        </w:tc>
        <w:tc>
          <w:tcPr>
            <w:tcW w:w="952" w:type="pct"/>
            <w:vAlign w:val="center"/>
          </w:tcPr>
          <w:p w:rsidR="000F0BB5" w:rsidRPr="000F0BB5" w:rsidRDefault="000F0BB5" w:rsidP="000F0BB5">
            <w:pPr>
              <w:pStyle w:val="af1"/>
              <w:snapToGrid w:val="0"/>
              <w:ind w:firstLineChars="0" w:firstLine="0"/>
              <w:contextualSpacing/>
              <w:rPr>
                <w:rFonts w:ascii="仿宋_GB2312" w:eastAsia="仿宋_GB2312" w:hAnsi="Times New Roman"/>
                <w:sz w:val="24"/>
                <w:szCs w:val="24"/>
                <w:u w:val="single"/>
              </w:rPr>
            </w:pPr>
            <w:r w:rsidRPr="000F0BB5">
              <w:rPr>
                <w:rFonts w:ascii="仿宋_GB2312" w:eastAsia="仿宋_GB2312" w:hint="eastAsia"/>
                <w:sz w:val="24"/>
              </w:rPr>
              <w:t>大学英语六级</w:t>
            </w:r>
            <w:r w:rsidRPr="000F0BB5">
              <w:rPr>
                <w:rFonts w:ascii="仿宋_GB2312" w:eastAsia="仿宋_GB2312"/>
                <w:sz w:val="24"/>
              </w:rPr>
              <w:t>425</w:t>
            </w:r>
            <w:r w:rsidRPr="000F0BB5">
              <w:rPr>
                <w:rFonts w:ascii="仿宋_GB2312" w:eastAsia="仿宋_GB2312" w:hint="eastAsia"/>
                <w:sz w:val="24"/>
              </w:rPr>
              <w:t>分以上</w:t>
            </w:r>
          </w:p>
        </w:tc>
      </w:tr>
      <w:tr w:rsidR="000F0BB5" w:rsidRPr="000F0BB5" w:rsidTr="00333843">
        <w:trPr>
          <w:trHeight w:val="794"/>
        </w:trPr>
        <w:tc>
          <w:tcPr>
            <w:tcW w:w="238" w:type="pct"/>
            <w:vAlign w:val="center"/>
          </w:tcPr>
          <w:p w:rsidR="000F0BB5" w:rsidRPr="000F0BB5" w:rsidRDefault="000F0BB5" w:rsidP="000F0BB5">
            <w:pPr>
              <w:jc w:val="center"/>
              <w:rPr>
                <w:rFonts w:ascii="仿宋_GB2312" w:eastAsia="仿宋_GB2312"/>
                <w:sz w:val="24"/>
              </w:rPr>
            </w:pPr>
            <w:r w:rsidRPr="000F0BB5">
              <w:rPr>
                <w:rFonts w:ascii="仿宋_GB2312" w:eastAsia="仿宋_GB2312" w:hint="eastAsia"/>
                <w:sz w:val="24"/>
              </w:rPr>
              <w:t>0</w:t>
            </w:r>
            <w:r w:rsidRPr="000F0BB5">
              <w:rPr>
                <w:rFonts w:ascii="仿宋_GB2312" w:eastAsia="仿宋_GB2312"/>
                <w:sz w:val="24"/>
              </w:rPr>
              <w:t>6</w:t>
            </w:r>
          </w:p>
        </w:tc>
        <w:tc>
          <w:tcPr>
            <w:tcW w:w="45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综合后勤岗</w:t>
            </w:r>
          </w:p>
        </w:tc>
        <w:tc>
          <w:tcPr>
            <w:tcW w:w="205"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1</w:t>
            </w:r>
          </w:p>
        </w:tc>
        <w:tc>
          <w:tcPr>
            <w:tcW w:w="1599"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经济学类、</w:t>
            </w:r>
            <w:r w:rsidRPr="000F0BB5">
              <w:rPr>
                <w:rFonts w:ascii="仿宋_GB2312" w:eastAsia="仿宋_GB2312"/>
                <w:sz w:val="24"/>
              </w:rPr>
              <w:t>管理科学与工程类、公共管理类、工商管理类</w:t>
            </w:r>
          </w:p>
        </w:tc>
        <w:tc>
          <w:tcPr>
            <w:tcW w:w="410" w:type="pct"/>
            <w:vAlign w:val="center"/>
          </w:tcPr>
          <w:p w:rsidR="000F0BB5" w:rsidRPr="000F0BB5" w:rsidRDefault="000F0BB5" w:rsidP="000F0BB5">
            <w:pPr>
              <w:snapToGrid w:val="0"/>
              <w:contextualSpacing/>
              <w:jc w:val="center"/>
              <w:rPr>
                <w:rFonts w:ascii="仿宋_GB2312" w:eastAsia="仿宋_GB2312"/>
                <w:sz w:val="24"/>
              </w:rPr>
            </w:pPr>
            <w:r w:rsidRPr="000F0BB5">
              <w:rPr>
                <w:rFonts w:ascii="仿宋_GB2312" w:eastAsia="仿宋_GB2312" w:hint="eastAsia"/>
                <w:sz w:val="24"/>
              </w:rPr>
              <w:t>大专及以上</w:t>
            </w:r>
          </w:p>
        </w:tc>
        <w:tc>
          <w:tcPr>
            <w:tcW w:w="573" w:type="pct"/>
            <w:vAlign w:val="center"/>
          </w:tcPr>
          <w:p w:rsidR="000F0BB5" w:rsidRPr="000F0BB5" w:rsidRDefault="000F0BB5" w:rsidP="000F0BB5">
            <w:pPr>
              <w:pStyle w:val="af1"/>
              <w:snapToGrid w:val="0"/>
              <w:ind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社会在职</w:t>
            </w:r>
            <w:r w:rsidRPr="000F0BB5">
              <w:rPr>
                <w:rFonts w:ascii="仿宋_GB2312" w:eastAsia="仿宋_GB2312" w:hAnsi="Times New Roman"/>
                <w:sz w:val="24"/>
                <w:szCs w:val="24"/>
              </w:rPr>
              <w:t>人员</w:t>
            </w:r>
          </w:p>
        </w:tc>
        <w:tc>
          <w:tcPr>
            <w:tcW w:w="573" w:type="pct"/>
            <w:vAlign w:val="center"/>
          </w:tcPr>
          <w:p w:rsidR="000F0BB5" w:rsidRPr="000F0BB5" w:rsidRDefault="000F0BB5" w:rsidP="000F0BB5">
            <w:pPr>
              <w:pStyle w:val="af1"/>
              <w:snapToGrid w:val="0"/>
              <w:ind w:left="-83" w:firstLineChars="0" w:firstLine="0"/>
              <w:contextualSpacing/>
              <w:jc w:val="center"/>
              <w:rPr>
                <w:rFonts w:ascii="仿宋_GB2312" w:eastAsia="仿宋_GB2312" w:hAnsi="Times New Roman"/>
                <w:sz w:val="24"/>
                <w:szCs w:val="24"/>
              </w:rPr>
            </w:pPr>
            <w:r w:rsidRPr="000F0BB5">
              <w:rPr>
                <w:rFonts w:ascii="仿宋_GB2312" w:eastAsia="仿宋_GB2312" w:hAnsi="Times New Roman" w:hint="eastAsia"/>
                <w:sz w:val="24"/>
                <w:szCs w:val="24"/>
              </w:rPr>
              <w:t>4</w:t>
            </w:r>
            <w:r w:rsidRPr="000F0BB5">
              <w:rPr>
                <w:rFonts w:ascii="仿宋_GB2312" w:eastAsia="仿宋_GB2312" w:hAnsi="Times New Roman"/>
                <w:sz w:val="24"/>
                <w:szCs w:val="24"/>
              </w:rPr>
              <w:t>0</w:t>
            </w:r>
            <w:r w:rsidRPr="000F0BB5">
              <w:rPr>
                <w:rFonts w:ascii="仿宋_GB2312" w:eastAsia="仿宋_GB2312" w:hAnsi="Times New Roman" w:hint="eastAsia"/>
                <w:sz w:val="24"/>
                <w:szCs w:val="24"/>
              </w:rPr>
              <w:t>周岁及</w:t>
            </w:r>
            <w:r w:rsidRPr="000F0BB5">
              <w:rPr>
                <w:rFonts w:ascii="仿宋_GB2312" w:eastAsia="仿宋_GB2312" w:hAnsi="Times New Roman"/>
                <w:sz w:val="24"/>
                <w:szCs w:val="24"/>
              </w:rPr>
              <w:t>以下</w:t>
            </w:r>
          </w:p>
        </w:tc>
        <w:tc>
          <w:tcPr>
            <w:tcW w:w="952" w:type="pct"/>
            <w:vAlign w:val="center"/>
          </w:tcPr>
          <w:p w:rsidR="000F0BB5" w:rsidRPr="000F0BB5" w:rsidRDefault="000F0BB5" w:rsidP="000F0BB5">
            <w:pPr>
              <w:pStyle w:val="af1"/>
              <w:numPr>
                <w:ilvl w:val="0"/>
                <w:numId w:val="4"/>
              </w:numPr>
              <w:snapToGrid w:val="0"/>
              <w:ind w:firstLineChars="0"/>
              <w:contextualSpacing/>
              <w:rPr>
                <w:rFonts w:ascii="仿宋_GB2312" w:eastAsia="仿宋_GB2312" w:hAnsi="Times New Roman"/>
                <w:sz w:val="24"/>
                <w:szCs w:val="24"/>
              </w:rPr>
            </w:pPr>
            <w:r w:rsidRPr="000F0BB5">
              <w:rPr>
                <w:rFonts w:ascii="仿宋_GB2312" w:eastAsia="仿宋_GB2312" w:hAnsi="Times New Roman" w:hint="eastAsia"/>
                <w:sz w:val="24"/>
                <w:szCs w:val="24"/>
              </w:rPr>
              <w:t>熟悉</w:t>
            </w:r>
            <w:r w:rsidRPr="000F0BB5">
              <w:rPr>
                <w:rFonts w:ascii="仿宋_GB2312" w:eastAsia="仿宋_GB2312" w:hAnsi="Times New Roman"/>
                <w:sz w:val="24"/>
                <w:szCs w:val="24"/>
              </w:rPr>
              <w:t>驾驶</w:t>
            </w:r>
            <w:r w:rsidRPr="000F0BB5">
              <w:rPr>
                <w:rFonts w:ascii="仿宋_GB2312" w:eastAsia="仿宋_GB2312" w:hAnsi="Times New Roman" w:hint="eastAsia"/>
                <w:sz w:val="24"/>
                <w:szCs w:val="24"/>
              </w:rPr>
              <w:t>与</w:t>
            </w:r>
            <w:r w:rsidRPr="000F0BB5">
              <w:rPr>
                <w:rFonts w:ascii="仿宋_GB2312" w:eastAsia="仿宋_GB2312" w:hAnsi="Times New Roman"/>
                <w:sz w:val="24"/>
                <w:szCs w:val="24"/>
              </w:rPr>
              <w:t>车辆维修</w:t>
            </w:r>
            <w:r w:rsidRPr="000F0BB5">
              <w:rPr>
                <w:rFonts w:ascii="仿宋_GB2312" w:eastAsia="仿宋_GB2312" w:hAnsi="Times New Roman" w:hint="eastAsia"/>
                <w:sz w:val="24"/>
                <w:szCs w:val="24"/>
              </w:rPr>
              <w:t>，实际</w:t>
            </w:r>
            <w:r w:rsidRPr="000F0BB5">
              <w:rPr>
                <w:rFonts w:ascii="仿宋_GB2312" w:eastAsia="仿宋_GB2312" w:hAnsi="Times New Roman"/>
                <w:sz w:val="24"/>
                <w:szCs w:val="24"/>
              </w:rPr>
              <w:t>驾龄</w:t>
            </w:r>
            <w:r w:rsidRPr="000F0BB5">
              <w:rPr>
                <w:rFonts w:ascii="仿宋_GB2312" w:eastAsia="仿宋_GB2312" w:hAnsi="Times New Roman" w:hint="eastAsia"/>
                <w:sz w:val="24"/>
                <w:szCs w:val="24"/>
              </w:rPr>
              <w:t>十年以上</w:t>
            </w:r>
          </w:p>
          <w:p w:rsidR="000F0BB5" w:rsidRPr="000F0BB5" w:rsidRDefault="000F0BB5" w:rsidP="000F0BB5">
            <w:pPr>
              <w:pStyle w:val="af1"/>
              <w:numPr>
                <w:ilvl w:val="0"/>
                <w:numId w:val="4"/>
              </w:numPr>
              <w:snapToGrid w:val="0"/>
              <w:ind w:firstLineChars="0"/>
              <w:contextualSpacing/>
              <w:rPr>
                <w:rFonts w:ascii="仿宋_GB2312" w:eastAsia="仿宋_GB2312" w:hAnsi="Times New Roman"/>
                <w:sz w:val="24"/>
                <w:szCs w:val="24"/>
              </w:rPr>
            </w:pPr>
            <w:r w:rsidRPr="000F0BB5">
              <w:rPr>
                <w:rFonts w:ascii="仿宋_GB2312" w:eastAsia="仿宋_GB2312" w:hAnsi="Times New Roman" w:hint="eastAsia"/>
                <w:sz w:val="24"/>
                <w:szCs w:val="24"/>
              </w:rPr>
              <w:t>具有</w:t>
            </w:r>
            <w:r w:rsidRPr="000F0BB5">
              <w:rPr>
                <w:rFonts w:ascii="仿宋_GB2312" w:eastAsia="仿宋_GB2312" w:hAnsi="Times New Roman"/>
                <w:sz w:val="24"/>
                <w:szCs w:val="24"/>
              </w:rPr>
              <w:t>事业单位从业</w:t>
            </w:r>
            <w:r w:rsidRPr="000F0BB5">
              <w:rPr>
                <w:rFonts w:ascii="仿宋_GB2312" w:eastAsia="仿宋_GB2312" w:hAnsi="Times New Roman" w:hint="eastAsia"/>
                <w:sz w:val="24"/>
                <w:szCs w:val="24"/>
              </w:rPr>
              <w:t>经历者</w:t>
            </w:r>
            <w:r w:rsidRPr="000F0BB5">
              <w:rPr>
                <w:rFonts w:ascii="仿宋_GB2312" w:eastAsia="仿宋_GB2312" w:hAnsi="Times New Roman"/>
                <w:sz w:val="24"/>
                <w:szCs w:val="24"/>
              </w:rPr>
              <w:t>优先</w:t>
            </w:r>
          </w:p>
        </w:tc>
      </w:tr>
    </w:tbl>
    <w:p w:rsidR="00236BD9" w:rsidRPr="00A05361" w:rsidRDefault="00A05361" w:rsidP="00A05361">
      <w:pPr>
        <w:widowControl/>
        <w:adjustRightInd w:val="0"/>
        <w:ind w:firstLineChars="200" w:firstLine="480"/>
        <w:jc w:val="left"/>
        <w:outlineLvl w:val="0"/>
        <w:rPr>
          <w:rFonts w:ascii="仿宋_GB2312" w:eastAsia="仿宋_GB2312" w:hAnsi="宋体"/>
          <w:sz w:val="24"/>
          <w:szCs w:val="32"/>
        </w:rPr>
      </w:pPr>
      <w:r w:rsidRPr="000F0BB5">
        <w:rPr>
          <w:rFonts w:ascii="仿宋_GB2312" w:eastAsia="仿宋_GB2312" w:hAnsi="宋体" w:hint="eastAsia"/>
          <w:sz w:val="24"/>
          <w:szCs w:val="32"/>
        </w:rPr>
        <w:t>专业参考目录：</w:t>
      </w:r>
      <w:r w:rsidR="00333843" w:rsidRPr="000F0BB5">
        <w:rPr>
          <w:rFonts w:ascii="仿宋_GB2312" w:eastAsia="仿宋_GB2312" w:hAnsi="宋体" w:hint="eastAsia"/>
          <w:sz w:val="24"/>
          <w:szCs w:val="32"/>
        </w:rPr>
        <w:t>《授予博士、硕士学位和培养研究生的学科、专业目录》《普通高等学校本科专业目录》《普通高等学校高等职业教育（专科）专业目录》</w:t>
      </w:r>
    </w:p>
    <w:sectPr w:rsidR="00236BD9" w:rsidRPr="00A05361" w:rsidSect="000F0BB5">
      <w:pgSz w:w="16838" w:h="11906" w:orient="landscape"/>
      <w:pgMar w:top="1418" w:right="1440" w:bottom="127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03" w:rsidRDefault="00366903" w:rsidP="00150CB7">
      <w:r>
        <w:separator/>
      </w:r>
    </w:p>
  </w:endnote>
  <w:endnote w:type="continuationSeparator" w:id="0">
    <w:p w:rsidR="00366903" w:rsidRDefault="00366903" w:rsidP="001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03" w:rsidRDefault="00366903" w:rsidP="00150CB7">
      <w:r>
        <w:separator/>
      </w:r>
    </w:p>
  </w:footnote>
  <w:footnote w:type="continuationSeparator" w:id="0">
    <w:p w:rsidR="00366903" w:rsidRDefault="00366903" w:rsidP="0015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59E0"/>
    <w:multiLevelType w:val="hybridMultilevel"/>
    <w:tmpl w:val="3984C7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0B4C3E"/>
    <w:multiLevelType w:val="hybridMultilevel"/>
    <w:tmpl w:val="0CBE225E"/>
    <w:lvl w:ilvl="0" w:tplc="40B03372">
      <w:start w:val="1"/>
      <w:numFmt w:val="decimal"/>
      <w:lvlText w:val="%1."/>
      <w:lvlJc w:val="left"/>
      <w:pPr>
        <w:ind w:left="373" w:hanging="420"/>
      </w:pPr>
      <w:rPr>
        <w:rFonts w:hint="default"/>
      </w:rPr>
    </w:lvl>
    <w:lvl w:ilvl="1" w:tplc="04090019" w:tentative="1">
      <w:start w:val="1"/>
      <w:numFmt w:val="lowerLetter"/>
      <w:lvlText w:val="%2)"/>
      <w:lvlJc w:val="left"/>
      <w:pPr>
        <w:ind w:left="793" w:hanging="420"/>
      </w:pPr>
    </w:lvl>
    <w:lvl w:ilvl="2" w:tplc="0409001B" w:tentative="1">
      <w:start w:val="1"/>
      <w:numFmt w:val="lowerRoman"/>
      <w:lvlText w:val="%3."/>
      <w:lvlJc w:val="right"/>
      <w:pPr>
        <w:ind w:left="1213" w:hanging="420"/>
      </w:pPr>
    </w:lvl>
    <w:lvl w:ilvl="3" w:tplc="0409000F" w:tentative="1">
      <w:start w:val="1"/>
      <w:numFmt w:val="decimal"/>
      <w:lvlText w:val="%4."/>
      <w:lvlJc w:val="left"/>
      <w:pPr>
        <w:ind w:left="1633" w:hanging="420"/>
      </w:pPr>
    </w:lvl>
    <w:lvl w:ilvl="4" w:tplc="04090019" w:tentative="1">
      <w:start w:val="1"/>
      <w:numFmt w:val="lowerLetter"/>
      <w:lvlText w:val="%5)"/>
      <w:lvlJc w:val="left"/>
      <w:pPr>
        <w:ind w:left="2053" w:hanging="420"/>
      </w:pPr>
    </w:lvl>
    <w:lvl w:ilvl="5" w:tplc="0409001B" w:tentative="1">
      <w:start w:val="1"/>
      <w:numFmt w:val="lowerRoman"/>
      <w:lvlText w:val="%6."/>
      <w:lvlJc w:val="right"/>
      <w:pPr>
        <w:ind w:left="2473" w:hanging="420"/>
      </w:pPr>
    </w:lvl>
    <w:lvl w:ilvl="6" w:tplc="0409000F" w:tentative="1">
      <w:start w:val="1"/>
      <w:numFmt w:val="decimal"/>
      <w:lvlText w:val="%7."/>
      <w:lvlJc w:val="left"/>
      <w:pPr>
        <w:ind w:left="2893" w:hanging="420"/>
      </w:pPr>
    </w:lvl>
    <w:lvl w:ilvl="7" w:tplc="04090019" w:tentative="1">
      <w:start w:val="1"/>
      <w:numFmt w:val="lowerLetter"/>
      <w:lvlText w:val="%8)"/>
      <w:lvlJc w:val="left"/>
      <w:pPr>
        <w:ind w:left="3313" w:hanging="420"/>
      </w:pPr>
    </w:lvl>
    <w:lvl w:ilvl="8" w:tplc="0409001B" w:tentative="1">
      <w:start w:val="1"/>
      <w:numFmt w:val="lowerRoman"/>
      <w:lvlText w:val="%9."/>
      <w:lvlJc w:val="right"/>
      <w:pPr>
        <w:ind w:left="3733" w:hanging="420"/>
      </w:pPr>
    </w:lvl>
  </w:abstractNum>
  <w:abstractNum w:abstractNumId="2" w15:restartNumberingAfterBreak="0">
    <w:nsid w:val="4C040797"/>
    <w:multiLevelType w:val="hybridMultilevel"/>
    <w:tmpl w:val="0CBE225E"/>
    <w:lvl w:ilvl="0" w:tplc="40B03372">
      <w:start w:val="1"/>
      <w:numFmt w:val="decimal"/>
      <w:lvlText w:val="%1."/>
      <w:lvlJc w:val="left"/>
      <w:pPr>
        <w:ind w:left="373" w:hanging="420"/>
      </w:pPr>
      <w:rPr>
        <w:rFonts w:hint="default"/>
      </w:rPr>
    </w:lvl>
    <w:lvl w:ilvl="1" w:tplc="04090019" w:tentative="1">
      <w:start w:val="1"/>
      <w:numFmt w:val="lowerLetter"/>
      <w:lvlText w:val="%2)"/>
      <w:lvlJc w:val="left"/>
      <w:pPr>
        <w:ind w:left="793" w:hanging="420"/>
      </w:pPr>
    </w:lvl>
    <w:lvl w:ilvl="2" w:tplc="0409001B" w:tentative="1">
      <w:start w:val="1"/>
      <w:numFmt w:val="lowerRoman"/>
      <w:lvlText w:val="%3."/>
      <w:lvlJc w:val="right"/>
      <w:pPr>
        <w:ind w:left="1213" w:hanging="420"/>
      </w:pPr>
    </w:lvl>
    <w:lvl w:ilvl="3" w:tplc="0409000F" w:tentative="1">
      <w:start w:val="1"/>
      <w:numFmt w:val="decimal"/>
      <w:lvlText w:val="%4."/>
      <w:lvlJc w:val="left"/>
      <w:pPr>
        <w:ind w:left="1633" w:hanging="420"/>
      </w:pPr>
    </w:lvl>
    <w:lvl w:ilvl="4" w:tplc="04090019" w:tentative="1">
      <w:start w:val="1"/>
      <w:numFmt w:val="lowerLetter"/>
      <w:lvlText w:val="%5)"/>
      <w:lvlJc w:val="left"/>
      <w:pPr>
        <w:ind w:left="2053" w:hanging="420"/>
      </w:pPr>
    </w:lvl>
    <w:lvl w:ilvl="5" w:tplc="0409001B" w:tentative="1">
      <w:start w:val="1"/>
      <w:numFmt w:val="lowerRoman"/>
      <w:lvlText w:val="%6."/>
      <w:lvlJc w:val="right"/>
      <w:pPr>
        <w:ind w:left="2473" w:hanging="420"/>
      </w:pPr>
    </w:lvl>
    <w:lvl w:ilvl="6" w:tplc="0409000F" w:tentative="1">
      <w:start w:val="1"/>
      <w:numFmt w:val="decimal"/>
      <w:lvlText w:val="%7."/>
      <w:lvlJc w:val="left"/>
      <w:pPr>
        <w:ind w:left="2893" w:hanging="420"/>
      </w:pPr>
    </w:lvl>
    <w:lvl w:ilvl="7" w:tplc="04090019" w:tentative="1">
      <w:start w:val="1"/>
      <w:numFmt w:val="lowerLetter"/>
      <w:lvlText w:val="%8)"/>
      <w:lvlJc w:val="left"/>
      <w:pPr>
        <w:ind w:left="3313" w:hanging="420"/>
      </w:pPr>
    </w:lvl>
    <w:lvl w:ilvl="8" w:tplc="0409001B" w:tentative="1">
      <w:start w:val="1"/>
      <w:numFmt w:val="lowerRoman"/>
      <w:lvlText w:val="%9."/>
      <w:lvlJc w:val="right"/>
      <w:pPr>
        <w:ind w:left="3733" w:hanging="420"/>
      </w:pPr>
    </w:lvl>
  </w:abstractNum>
  <w:abstractNum w:abstractNumId="3" w15:restartNumberingAfterBreak="0">
    <w:nsid w:val="725B4CC9"/>
    <w:multiLevelType w:val="hybridMultilevel"/>
    <w:tmpl w:val="0CBE225E"/>
    <w:lvl w:ilvl="0" w:tplc="40B03372">
      <w:start w:val="1"/>
      <w:numFmt w:val="decimal"/>
      <w:lvlText w:val="%1."/>
      <w:lvlJc w:val="left"/>
      <w:pPr>
        <w:ind w:left="373" w:hanging="420"/>
      </w:pPr>
      <w:rPr>
        <w:rFonts w:hint="default"/>
      </w:rPr>
    </w:lvl>
    <w:lvl w:ilvl="1" w:tplc="04090019" w:tentative="1">
      <w:start w:val="1"/>
      <w:numFmt w:val="lowerLetter"/>
      <w:lvlText w:val="%2)"/>
      <w:lvlJc w:val="left"/>
      <w:pPr>
        <w:ind w:left="793" w:hanging="420"/>
      </w:pPr>
    </w:lvl>
    <w:lvl w:ilvl="2" w:tplc="0409001B" w:tentative="1">
      <w:start w:val="1"/>
      <w:numFmt w:val="lowerRoman"/>
      <w:lvlText w:val="%3."/>
      <w:lvlJc w:val="right"/>
      <w:pPr>
        <w:ind w:left="1213" w:hanging="420"/>
      </w:pPr>
    </w:lvl>
    <w:lvl w:ilvl="3" w:tplc="0409000F" w:tentative="1">
      <w:start w:val="1"/>
      <w:numFmt w:val="decimal"/>
      <w:lvlText w:val="%4."/>
      <w:lvlJc w:val="left"/>
      <w:pPr>
        <w:ind w:left="1633" w:hanging="420"/>
      </w:pPr>
    </w:lvl>
    <w:lvl w:ilvl="4" w:tplc="04090019" w:tentative="1">
      <w:start w:val="1"/>
      <w:numFmt w:val="lowerLetter"/>
      <w:lvlText w:val="%5)"/>
      <w:lvlJc w:val="left"/>
      <w:pPr>
        <w:ind w:left="2053" w:hanging="420"/>
      </w:pPr>
    </w:lvl>
    <w:lvl w:ilvl="5" w:tplc="0409001B" w:tentative="1">
      <w:start w:val="1"/>
      <w:numFmt w:val="lowerRoman"/>
      <w:lvlText w:val="%6."/>
      <w:lvlJc w:val="right"/>
      <w:pPr>
        <w:ind w:left="2473" w:hanging="420"/>
      </w:pPr>
    </w:lvl>
    <w:lvl w:ilvl="6" w:tplc="0409000F" w:tentative="1">
      <w:start w:val="1"/>
      <w:numFmt w:val="decimal"/>
      <w:lvlText w:val="%7."/>
      <w:lvlJc w:val="left"/>
      <w:pPr>
        <w:ind w:left="2893" w:hanging="420"/>
      </w:pPr>
    </w:lvl>
    <w:lvl w:ilvl="7" w:tplc="04090019" w:tentative="1">
      <w:start w:val="1"/>
      <w:numFmt w:val="lowerLetter"/>
      <w:lvlText w:val="%8)"/>
      <w:lvlJc w:val="left"/>
      <w:pPr>
        <w:ind w:left="3313" w:hanging="420"/>
      </w:pPr>
    </w:lvl>
    <w:lvl w:ilvl="8" w:tplc="0409001B" w:tentative="1">
      <w:start w:val="1"/>
      <w:numFmt w:val="lowerRoman"/>
      <w:lvlText w:val="%9."/>
      <w:lvlJc w:val="right"/>
      <w:pPr>
        <w:ind w:left="3733" w:hanging="420"/>
      </w:pPr>
    </w:lvl>
  </w:abstractNum>
  <w:abstractNum w:abstractNumId="4" w15:restartNumberingAfterBreak="0">
    <w:nsid w:val="7A3506A0"/>
    <w:multiLevelType w:val="hybridMultilevel"/>
    <w:tmpl w:val="0CBE225E"/>
    <w:lvl w:ilvl="0" w:tplc="40B03372">
      <w:start w:val="1"/>
      <w:numFmt w:val="decimal"/>
      <w:lvlText w:val="%1."/>
      <w:lvlJc w:val="left"/>
      <w:pPr>
        <w:ind w:left="373" w:hanging="420"/>
      </w:pPr>
      <w:rPr>
        <w:rFonts w:hint="default"/>
      </w:rPr>
    </w:lvl>
    <w:lvl w:ilvl="1" w:tplc="04090019" w:tentative="1">
      <w:start w:val="1"/>
      <w:numFmt w:val="lowerLetter"/>
      <w:lvlText w:val="%2)"/>
      <w:lvlJc w:val="left"/>
      <w:pPr>
        <w:ind w:left="793" w:hanging="420"/>
      </w:pPr>
    </w:lvl>
    <w:lvl w:ilvl="2" w:tplc="0409001B" w:tentative="1">
      <w:start w:val="1"/>
      <w:numFmt w:val="lowerRoman"/>
      <w:lvlText w:val="%3."/>
      <w:lvlJc w:val="right"/>
      <w:pPr>
        <w:ind w:left="1213" w:hanging="420"/>
      </w:pPr>
    </w:lvl>
    <w:lvl w:ilvl="3" w:tplc="0409000F" w:tentative="1">
      <w:start w:val="1"/>
      <w:numFmt w:val="decimal"/>
      <w:lvlText w:val="%4."/>
      <w:lvlJc w:val="left"/>
      <w:pPr>
        <w:ind w:left="1633" w:hanging="420"/>
      </w:pPr>
    </w:lvl>
    <w:lvl w:ilvl="4" w:tplc="04090019" w:tentative="1">
      <w:start w:val="1"/>
      <w:numFmt w:val="lowerLetter"/>
      <w:lvlText w:val="%5)"/>
      <w:lvlJc w:val="left"/>
      <w:pPr>
        <w:ind w:left="2053" w:hanging="420"/>
      </w:pPr>
    </w:lvl>
    <w:lvl w:ilvl="5" w:tplc="0409001B" w:tentative="1">
      <w:start w:val="1"/>
      <w:numFmt w:val="lowerRoman"/>
      <w:lvlText w:val="%6."/>
      <w:lvlJc w:val="right"/>
      <w:pPr>
        <w:ind w:left="2473" w:hanging="420"/>
      </w:pPr>
    </w:lvl>
    <w:lvl w:ilvl="6" w:tplc="0409000F" w:tentative="1">
      <w:start w:val="1"/>
      <w:numFmt w:val="decimal"/>
      <w:lvlText w:val="%7."/>
      <w:lvlJc w:val="left"/>
      <w:pPr>
        <w:ind w:left="2893" w:hanging="420"/>
      </w:pPr>
    </w:lvl>
    <w:lvl w:ilvl="7" w:tplc="04090019" w:tentative="1">
      <w:start w:val="1"/>
      <w:numFmt w:val="lowerLetter"/>
      <w:lvlText w:val="%8)"/>
      <w:lvlJc w:val="left"/>
      <w:pPr>
        <w:ind w:left="3313" w:hanging="420"/>
      </w:pPr>
    </w:lvl>
    <w:lvl w:ilvl="8" w:tplc="0409001B" w:tentative="1">
      <w:start w:val="1"/>
      <w:numFmt w:val="lowerRoman"/>
      <w:lvlText w:val="%9."/>
      <w:lvlJc w:val="right"/>
      <w:pPr>
        <w:ind w:left="3733"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3A"/>
    <w:rsid w:val="0003034C"/>
    <w:rsid w:val="00054E18"/>
    <w:rsid w:val="000605C2"/>
    <w:rsid w:val="000F0BB5"/>
    <w:rsid w:val="0013594F"/>
    <w:rsid w:val="00150CB7"/>
    <w:rsid w:val="001B4C67"/>
    <w:rsid w:val="002147F1"/>
    <w:rsid w:val="002200F6"/>
    <w:rsid w:val="00240524"/>
    <w:rsid w:val="00307CDC"/>
    <w:rsid w:val="00333843"/>
    <w:rsid w:val="00362373"/>
    <w:rsid w:val="00366903"/>
    <w:rsid w:val="00376334"/>
    <w:rsid w:val="003C2AE4"/>
    <w:rsid w:val="003F1A7A"/>
    <w:rsid w:val="00433B92"/>
    <w:rsid w:val="004D0ADB"/>
    <w:rsid w:val="00513FC8"/>
    <w:rsid w:val="00543C35"/>
    <w:rsid w:val="00567FD2"/>
    <w:rsid w:val="005921DF"/>
    <w:rsid w:val="005D2DC3"/>
    <w:rsid w:val="00625D9C"/>
    <w:rsid w:val="00630375"/>
    <w:rsid w:val="00633043"/>
    <w:rsid w:val="007375D5"/>
    <w:rsid w:val="00744D09"/>
    <w:rsid w:val="007823B8"/>
    <w:rsid w:val="008227D2"/>
    <w:rsid w:val="00832736"/>
    <w:rsid w:val="00853BA7"/>
    <w:rsid w:val="00877E9D"/>
    <w:rsid w:val="00882609"/>
    <w:rsid w:val="008915F3"/>
    <w:rsid w:val="008F0186"/>
    <w:rsid w:val="00A05361"/>
    <w:rsid w:val="00B22FD5"/>
    <w:rsid w:val="00B71756"/>
    <w:rsid w:val="00B81465"/>
    <w:rsid w:val="00BB4C4F"/>
    <w:rsid w:val="00BE19AA"/>
    <w:rsid w:val="00C56A26"/>
    <w:rsid w:val="00C842D5"/>
    <w:rsid w:val="00CA2233"/>
    <w:rsid w:val="00CB04CB"/>
    <w:rsid w:val="00D4543A"/>
    <w:rsid w:val="00D57952"/>
    <w:rsid w:val="00D725AC"/>
    <w:rsid w:val="00DC52A8"/>
    <w:rsid w:val="00DF6125"/>
    <w:rsid w:val="00EC24A6"/>
    <w:rsid w:val="00F246B1"/>
    <w:rsid w:val="00F5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7ADD0"/>
  <w15:docId w15:val="{07B9A1B8-B7F3-4935-9266-2D6CDE0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0CB7"/>
    <w:rPr>
      <w:sz w:val="18"/>
      <w:szCs w:val="18"/>
    </w:rPr>
  </w:style>
  <w:style w:type="paragraph" w:styleId="a5">
    <w:name w:val="footer"/>
    <w:basedOn w:val="a"/>
    <w:link w:val="a6"/>
    <w:uiPriority w:val="99"/>
    <w:unhideWhenUsed/>
    <w:rsid w:val="00150CB7"/>
    <w:pPr>
      <w:tabs>
        <w:tab w:val="center" w:pos="4153"/>
        <w:tab w:val="right" w:pos="8306"/>
      </w:tabs>
      <w:snapToGrid w:val="0"/>
      <w:jc w:val="left"/>
    </w:pPr>
    <w:rPr>
      <w:sz w:val="18"/>
      <w:szCs w:val="18"/>
    </w:rPr>
  </w:style>
  <w:style w:type="character" w:customStyle="1" w:styleId="a6">
    <w:name w:val="页脚 字符"/>
    <w:basedOn w:val="a0"/>
    <w:link w:val="a5"/>
    <w:uiPriority w:val="99"/>
    <w:rsid w:val="00150CB7"/>
    <w:rPr>
      <w:sz w:val="18"/>
      <w:szCs w:val="18"/>
    </w:rPr>
  </w:style>
  <w:style w:type="paragraph" w:styleId="a7">
    <w:name w:val="List Paragraph"/>
    <w:basedOn w:val="a"/>
    <w:uiPriority w:val="34"/>
    <w:qFormat/>
    <w:rsid w:val="0013594F"/>
    <w:pPr>
      <w:ind w:firstLineChars="200" w:firstLine="420"/>
    </w:pPr>
    <w:rPr>
      <w:rFonts w:ascii="等线" w:eastAsia="等线" w:hAnsi="等线" w:cs="Times New Roman"/>
    </w:rPr>
  </w:style>
  <w:style w:type="paragraph" w:styleId="a8">
    <w:name w:val="Balloon Text"/>
    <w:basedOn w:val="a"/>
    <w:link w:val="a9"/>
    <w:uiPriority w:val="99"/>
    <w:semiHidden/>
    <w:unhideWhenUsed/>
    <w:rsid w:val="002147F1"/>
    <w:rPr>
      <w:sz w:val="18"/>
      <w:szCs w:val="18"/>
    </w:rPr>
  </w:style>
  <w:style w:type="character" w:customStyle="1" w:styleId="a9">
    <w:name w:val="批注框文本 字符"/>
    <w:basedOn w:val="a0"/>
    <w:link w:val="a8"/>
    <w:uiPriority w:val="99"/>
    <w:semiHidden/>
    <w:rsid w:val="002147F1"/>
    <w:rPr>
      <w:sz w:val="18"/>
      <w:szCs w:val="18"/>
    </w:rPr>
  </w:style>
  <w:style w:type="paragraph" w:customStyle="1" w:styleId="aa">
    <w:basedOn w:val="a"/>
    <w:next w:val="a7"/>
    <w:uiPriority w:val="34"/>
    <w:qFormat/>
    <w:rsid w:val="00054E18"/>
    <w:pPr>
      <w:ind w:firstLineChars="200" w:firstLine="420"/>
    </w:pPr>
    <w:rPr>
      <w:rFonts w:ascii="等线" w:eastAsia="等线" w:hAnsi="等线" w:cs="Times New Roman"/>
    </w:rPr>
  </w:style>
  <w:style w:type="paragraph" w:customStyle="1" w:styleId="ab">
    <w:basedOn w:val="a"/>
    <w:next w:val="a7"/>
    <w:uiPriority w:val="34"/>
    <w:qFormat/>
    <w:rsid w:val="00A05361"/>
    <w:pPr>
      <w:ind w:firstLineChars="200" w:firstLine="420"/>
    </w:pPr>
    <w:rPr>
      <w:rFonts w:ascii="等线" w:eastAsia="等线" w:hAnsi="等线" w:cs="Times New Roman"/>
    </w:rPr>
  </w:style>
  <w:style w:type="paragraph" w:customStyle="1" w:styleId="ac">
    <w:basedOn w:val="a"/>
    <w:next w:val="a7"/>
    <w:uiPriority w:val="34"/>
    <w:qFormat/>
    <w:rsid w:val="00333843"/>
    <w:pPr>
      <w:ind w:firstLineChars="200" w:firstLine="420"/>
    </w:pPr>
    <w:rPr>
      <w:rFonts w:ascii="等线" w:eastAsia="等线" w:hAnsi="等线" w:cs="Times New Roman"/>
    </w:rPr>
  </w:style>
  <w:style w:type="character" w:customStyle="1" w:styleId="1">
    <w:name w:val="批注主题 字符1"/>
    <w:link w:val="ad"/>
    <w:rsid w:val="00333843"/>
    <w:rPr>
      <w:b/>
      <w:bCs/>
      <w:szCs w:val="24"/>
    </w:rPr>
  </w:style>
  <w:style w:type="paragraph" w:styleId="ae">
    <w:name w:val="annotation text"/>
    <w:basedOn w:val="a"/>
    <w:link w:val="af"/>
    <w:uiPriority w:val="99"/>
    <w:semiHidden/>
    <w:unhideWhenUsed/>
    <w:rsid w:val="00333843"/>
    <w:pPr>
      <w:jc w:val="left"/>
    </w:pPr>
  </w:style>
  <w:style w:type="character" w:customStyle="1" w:styleId="af">
    <w:name w:val="批注文字 字符"/>
    <w:basedOn w:val="a0"/>
    <w:link w:val="ae"/>
    <w:uiPriority w:val="99"/>
    <w:semiHidden/>
    <w:rsid w:val="00333843"/>
  </w:style>
  <w:style w:type="paragraph" w:styleId="ad">
    <w:name w:val="annotation subject"/>
    <w:basedOn w:val="ae"/>
    <w:next w:val="ae"/>
    <w:link w:val="1"/>
    <w:rsid w:val="00333843"/>
    <w:rPr>
      <w:b/>
      <w:bCs/>
      <w:szCs w:val="24"/>
    </w:rPr>
  </w:style>
  <w:style w:type="character" w:customStyle="1" w:styleId="af0">
    <w:name w:val="批注主题 字符"/>
    <w:basedOn w:val="af"/>
    <w:uiPriority w:val="99"/>
    <w:semiHidden/>
    <w:rsid w:val="00333843"/>
    <w:rPr>
      <w:b/>
      <w:bCs/>
    </w:rPr>
  </w:style>
  <w:style w:type="paragraph" w:customStyle="1" w:styleId="af1">
    <w:basedOn w:val="a"/>
    <w:next w:val="a7"/>
    <w:uiPriority w:val="34"/>
    <w:qFormat/>
    <w:rsid w:val="000F0BB5"/>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张梦</cp:lastModifiedBy>
  <cp:revision>32</cp:revision>
  <cp:lastPrinted>2021-04-23T06:06:00Z</cp:lastPrinted>
  <dcterms:created xsi:type="dcterms:W3CDTF">2018-08-01T04:10:00Z</dcterms:created>
  <dcterms:modified xsi:type="dcterms:W3CDTF">2021-04-23T06:06:00Z</dcterms:modified>
</cp:coreProperties>
</file>