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附件1：</w:t>
      </w:r>
    </w:p>
    <w:p>
      <w:pPr>
        <w:adjustRightInd w:val="0"/>
        <w:snapToGrid w:val="0"/>
        <w:jc w:val="center"/>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会议日程</w:t>
      </w:r>
    </w:p>
    <w:tbl>
      <w:tblPr>
        <w:tblStyle w:val="3"/>
        <w:tblW w:w="9771" w:type="dxa"/>
        <w:jc w:val="center"/>
        <w:tblLayout w:type="autofit"/>
        <w:tblCellMar>
          <w:top w:w="0" w:type="dxa"/>
          <w:left w:w="0" w:type="dxa"/>
          <w:bottom w:w="0" w:type="dxa"/>
          <w:right w:w="0" w:type="dxa"/>
        </w:tblCellMar>
      </w:tblPr>
      <w:tblGrid>
        <w:gridCol w:w="1691"/>
        <w:gridCol w:w="8080"/>
      </w:tblGrid>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12月17日（周五）报到注册</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12月18日（周六）上午  主会场：循证药学前沿与进展主旨报告</w:t>
            </w:r>
          </w:p>
        </w:tc>
      </w:tr>
      <w:tr>
        <w:tblPrEx>
          <w:tblCellMar>
            <w:top w:w="0" w:type="dxa"/>
            <w:left w:w="0" w:type="dxa"/>
            <w:bottom w:w="0" w:type="dxa"/>
            <w:right w:w="0" w:type="dxa"/>
          </w:tblCellMar>
        </w:tblPrEx>
        <w:trPr>
          <w:trHeight w:val="278"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08:00-08:30</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开幕式</w:t>
            </w:r>
          </w:p>
        </w:tc>
      </w:tr>
      <w:tr>
        <w:tblPrEx>
          <w:tblCellMar>
            <w:top w:w="0" w:type="dxa"/>
            <w:left w:w="0" w:type="dxa"/>
            <w:bottom w:w="0" w:type="dxa"/>
            <w:right w:w="0" w:type="dxa"/>
          </w:tblCellMar>
        </w:tblPrEx>
        <w:trPr>
          <w:trHeight w:val="21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08:30-08:45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胰岛素安全使用指南制定的发布会</w:t>
            </w:r>
          </w:p>
        </w:tc>
      </w:tr>
      <w:tr>
        <w:tblPrEx>
          <w:tblCellMar>
            <w:top w:w="0" w:type="dxa"/>
            <w:left w:w="0" w:type="dxa"/>
            <w:bottom w:w="0" w:type="dxa"/>
            <w:right w:w="0" w:type="dxa"/>
          </w:tblCellMar>
        </w:tblPrEx>
        <w:trPr>
          <w:trHeight w:val="14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08:45-09:15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临床实践指南：进展、挑战和与机遇</w:t>
            </w:r>
          </w:p>
        </w:tc>
      </w:tr>
      <w:tr>
        <w:tblPrEx>
          <w:tblCellMar>
            <w:top w:w="0" w:type="dxa"/>
            <w:left w:w="0" w:type="dxa"/>
            <w:bottom w:w="0" w:type="dxa"/>
            <w:right w:w="0" w:type="dxa"/>
          </w:tblCellMar>
        </w:tblPrEx>
        <w:trPr>
          <w:trHeight w:val="23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09:15-09:45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循证医学助力“健康中囯2030”的挑战、探索与思考</w:t>
            </w:r>
          </w:p>
        </w:tc>
      </w:tr>
      <w:tr>
        <w:tblPrEx>
          <w:tblCellMar>
            <w:top w:w="0" w:type="dxa"/>
            <w:left w:w="0" w:type="dxa"/>
            <w:bottom w:w="0" w:type="dxa"/>
            <w:right w:w="0" w:type="dxa"/>
          </w:tblCellMar>
        </w:tblPrEx>
        <w:trPr>
          <w:trHeight w:val="16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09:45-10:10</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药物流行病学与用药安全</w:t>
            </w:r>
          </w:p>
        </w:tc>
      </w:tr>
      <w:tr>
        <w:tblPrEx>
          <w:tblCellMar>
            <w:top w:w="0" w:type="dxa"/>
            <w:left w:w="0" w:type="dxa"/>
            <w:bottom w:w="0" w:type="dxa"/>
            <w:right w:w="0" w:type="dxa"/>
          </w:tblCellMar>
        </w:tblPrEx>
        <w:trPr>
          <w:trHeight w:val="24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10:10-10:35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循证医学的哲学思考</w:t>
            </w:r>
          </w:p>
        </w:tc>
      </w:tr>
      <w:tr>
        <w:tblPrEx>
          <w:tblCellMar>
            <w:top w:w="0" w:type="dxa"/>
            <w:left w:w="0" w:type="dxa"/>
            <w:bottom w:w="0" w:type="dxa"/>
            <w:right w:w="0" w:type="dxa"/>
          </w:tblCellMar>
        </w:tblPrEx>
        <w:trPr>
          <w:trHeight w:val="19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10:35-11:00</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真实世界研究在监管领域的应用进展情况</w:t>
            </w:r>
          </w:p>
        </w:tc>
      </w:tr>
      <w:tr>
        <w:tblPrEx>
          <w:tblCellMar>
            <w:top w:w="0" w:type="dxa"/>
            <w:left w:w="0" w:type="dxa"/>
            <w:bottom w:w="0" w:type="dxa"/>
            <w:right w:w="0" w:type="dxa"/>
          </w:tblCellMar>
        </w:tblPrEx>
        <w:trPr>
          <w:trHeight w:val="26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11:00-11:25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循证药学研究与思考</w:t>
            </w:r>
          </w:p>
        </w:tc>
      </w:tr>
      <w:tr>
        <w:tblPrEx>
          <w:tblCellMar>
            <w:top w:w="0" w:type="dxa"/>
            <w:left w:w="0" w:type="dxa"/>
            <w:bottom w:w="0" w:type="dxa"/>
            <w:right w:w="0" w:type="dxa"/>
          </w:tblCellMar>
        </w:tblPrEx>
        <w:trPr>
          <w:trHeight w:val="34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11:25-11:35</w:t>
            </w:r>
          </w:p>
        </w:tc>
        <w:tc>
          <w:tcPr>
            <w:tcW w:w="8080" w:type="dxa"/>
            <w:tcBorders>
              <w:top w:val="single" w:color="A5A5A5" w:sz="8" w:space="0"/>
              <w:left w:val="single" w:color="A5A5A5" w:sz="8" w:space="0"/>
              <w:bottom w:val="single" w:color="A5A5A5" w:sz="8" w:space="0"/>
              <w:right w:val="single" w:color="A5A5A5" w:sz="8" w:space="0"/>
            </w:tcBorders>
            <w:shd w:val="clear" w:color="auto" w:fill="auto"/>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会议总结</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12月18日（周六）下午  分论坛一：循证药学与药学实践</w:t>
            </w:r>
          </w:p>
        </w:tc>
      </w:tr>
      <w:tr>
        <w:tblPrEx>
          <w:tblCellMar>
            <w:top w:w="0" w:type="dxa"/>
            <w:left w:w="0" w:type="dxa"/>
            <w:bottom w:w="0" w:type="dxa"/>
            <w:right w:w="0" w:type="dxa"/>
          </w:tblCellMar>
        </w:tblPrEx>
        <w:trPr>
          <w:trHeight w:val="24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13:30-13:35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开场致辞</w:t>
            </w:r>
          </w:p>
        </w:tc>
      </w:tr>
      <w:tr>
        <w:tblPrEx>
          <w:tblCellMar>
            <w:top w:w="0" w:type="dxa"/>
            <w:left w:w="0" w:type="dxa"/>
            <w:bottom w:w="0" w:type="dxa"/>
            <w:right w:w="0" w:type="dxa"/>
          </w:tblCellMar>
        </w:tblPrEx>
        <w:trPr>
          <w:trHeight w:val="178"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13:35-14:00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Evolving Pharmacy Practice Landscape in the Next Decade</w:t>
            </w:r>
          </w:p>
        </w:tc>
      </w:tr>
      <w:tr>
        <w:tblPrEx>
          <w:tblCellMar>
            <w:top w:w="0" w:type="dxa"/>
            <w:left w:w="0" w:type="dxa"/>
            <w:bottom w:w="0" w:type="dxa"/>
            <w:right w:w="0" w:type="dxa"/>
          </w:tblCellMar>
        </w:tblPrEx>
        <w:trPr>
          <w:trHeight w:val="15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14:00-14:25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中药在应对新冠疫情治疗的作用思考</w:t>
            </w:r>
          </w:p>
        </w:tc>
      </w:tr>
      <w:tr>
        <w:tblPrEx>
          <w:tblCellMar>
            <w:top w:w="0" w:type="dxa"/>
            <w:left w:w="0" w:type="dxa"/>
            <w:bottom w:w="0" w:type="dxa"/>
            <w:right w:w="0" w:type="dxa"/>
          </w:tblCellMar>
        </w:tblPrEx>
        <w:trPr>
          <w:trHeight w:val="4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14:25-14:50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老年患者药品不良事件主动监测探索与实践</w:t>
            </w:r>
          </w:p>
        </w:tc>
      </w:tr>
      <w:tr>
        <w:tblPrEx>
          <w:tblCellMar>
            <w:top w:w="0" w:type="dxa"/>
            <w:left w:w="0" w:type="dxa"/>
            <w:bottom w:w="0" w:type="dxa"/>
            <w:right w:w="0" w:type="dxa"/>
          </w:tblCellMar>
        </w:tblPrEx>
        <w:trPr>
          <w:trHeight w:val="17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14:50-15:15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卫生技术评估在药品控费中的应用</w:t>
            </w:r>
          </w:p>
        </w:tc>
      </w:tr>
      <w:tr>
        <w:tblPrEx>
          <w:tblCellMar>
            <w:top w:w="0" w:type="dxa"/>
            <w:left w:w="0" w:type="dxa"/>
            <w:bottom w:w="0" w:type="dxa"/>
            <w:right w:w="0" w:type="dxa"/>
          </w:tblCellMar>
        </w:tblPrEx>
        <w:trPr>
          <w:trHeight w:val="11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15:15-15:40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Health Economics in Health Technology Assessment</w:t>
            </w:r>
          </w:p>
        </w:tc>
      </w:tr>
      <w:tr>
        <w:tblPrEx>
          <w:tblCellMar>
            <w:top w:w="0" w:type="dxa"/>
            <w:left w:w="0" w:type="dxa"/>
            <w:bottom w:w="0" w:type="dxa"/>
            <w:right w:w="0" w:type="dxa"/>
          </w:tblCellMar>
        </w:tblPrEx>
        <w:trPr>
          <w:trHeight w:val="21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15:40-16:05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药品不良反应信号筛选与药物警戒</w:t>
            </w:r>
          </w:p>
        </w:tc>
      </w:tr>
      <w:tr>
        <w:tblPrEx>
          <w:tblCellMar>
            <w:top w:w="0" w:type="dxa"/>
            <w:left w:w="0" w:type="dxa"/>
            <w:bottom w:w="0" w:type="dxa"/>
            <w:right w:w="0" w:type="dxa"/>
          </w:tblCellMar>
        </w:tblPrEx>
        <w:trPr>
          <w:trHeight w:val="30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16:05-16:15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会议总结</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12月18日（周六）下午  分论坛二：循证药学与药学教育</w:t>
            </w:r>
          </w:p>
        </w:tc>
      </w:tr>
      <w:tr>
        <w:tblPrEx>
          <w:tblCellMar>
            <w:top w:w="0" w:type="dxa"/>
            <w:left w:w="0" w:type="dxa"/>
            <w:bottom w:w="0" w:type="dxa"/>
            <w:right w:w="0" w:type="dxa"/>
          </w:tblCellMar>
        </w:tblPrEx>
        <w:trPr>
          <w:trHeight w:val="23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13:30-13:35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开场致辞</w:t>
            </w:r>
          </w:p>
        </w:tc>
      </w:tr>
      <w:tr>
        <w:tblPrEx>
          <w:tblCellMar>
            <w:top w:w="0" w:type="dxa"/>
            <w:left w:w="0" w:type="dxa"/>
            <w:bottom w:w="0" w:type="dxa"/>
            <w:right w:w="0" w:type="dxa"/>
          </w:tblCellMar>
        </w:tblPrEx>
        <w:trPr>
          <w:trHeight w:val="16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13:35-14:00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对循证药学学科专业建设和教育工作的一些思考</w:t>
            </w:r>
          </w:p>
        </w:tc>
      </w:tr>
      <w:tr>
        <w:tblPrEx>
          <w:tblCellMar>
            <w:top w:w="0" w:type="dxa"/>
            <w:left w:w="0" w:type="dxa"/>
            <w:bottom w:w="0" w:type="dxa"/>
            <w:right w:w="0" w:type="dxa"/>
          </w:tblCellMar>
        </w:tblPrEx>
        <w:trPr>
          <w:trHeight w:val="24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14:00-14:20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循证药学课程体系设计与实践</w:t>
            </w:r>
          </w:p>
        </w:tc>
      </w:tr>
      <w:tr>
        <w:tblPrEx>
          <w:tblCellMar>
            <w:top w:w="0" w:type="dxa"/>
            <w:left w:w="0" w:type="dxa"/>
            <w:bottom w:w="0" w:type="dxa"/>
            <w:right w:w="0" w:type="dxa"/>
          </w:tblCellMar>
        </w:tblPrEx>
        <w:trPr>
          <w:trHeight w:val="18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14:20-14:40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循证医学教学对医学生核心能力的影响</w:t>
            </w:r>
          </w:p>
        </w:tc>
      </w:tr>
      <w:tr>
        <w:tblPrEx>
          <w:tblCellMar>
            <w:top w:w="0" w:type="dxa"/>
            <w:left w:w="0" w:type="dxa"/>
            <w:bottom w:w="0" w:type="dxa"/>
            <w:right w:w="0" w:type="dxa"/>
          </w:tblCellMar>
        </w:tblPrEx>
        <w:trPr>
          <w:trHeight w:val="12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14:40-15:00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循证药学课程教学模式的现状与启示</w:t>
            </w:r>
          </w:p>
        </w:tc>
      </w:tr>
      <w:tr>
        <w:tblPrEx>
          <w:tblCellMar>
            <w:top w:w="0" w:type="dxa"/>
            <w:left w:w="0" w:type="dxa"/>
            <w:bottom w:w="0" w:type="dxa"/>
            <w:right w:w="0" w:type="dxa"/>
          </w:tblCellMar>
        </w:tblPrEx>
        <w:trPr>
          <w:trHeight w:val="4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15:00-15:20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循证药学在本科及研究生教育的产生和发展</w:t>
            </w:r>
          </w:p>
        </w:tc>
      </w:tr>
      <w:tr>
        <w:tblPrEx>
          <w:tblCellMar>
            <w:top w:w="0" w:type="dxa"/>
            <w:left w:w="0" w:type="dxa"/>
            <w:bottom w:w="0" w:type="dxa"/>
            <w:right w:w="0" w:type="dxa"/>
          </w:tblCellMar>
        </w:tblPrEx>
        <w:trPr>
          <w:trHeight w:val="13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15:20-15:40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临床药学专业循证思维训练的教学模式探索</w:t>
            </w:r>
          </w:p>
        </w:tc>
      </w:tr>
      <w:tr>
        <w:tblPrEx>
          <w:tblCellMar>
            <w:top w:w="0" w:type="dxa"/>
            <w:left w:w="0" w:type="dxa"/>
            <w:bottom w:w="0" w:type="dxa"/>
            <w:right w:w="0" w:type="dxa"/>
          </w:tblCellMar>
        </w:tblPrEx>
        <w:trPr>
          <w:trHeight w:val="20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15:40-15:50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教育讨论会</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12月18日（周六）下午  循证药学专业委员会工作会</w:t>
            </w:r>
          </w:p>
        </w:tc>
      </w:tr>
      <w:tr>
        <w:tblPrEx>
          <w:tblCellMar>
            <w:top w:w="0" w:type="dxa"/>
            <w:left w:w="0" w:type="dxa"/>
            <w:bottom w:w="0" w:type="dxa"/>
            <w:right w:w="0" w:type="dxa"/>
          </w:tblCellMar>
        </w:tblPrEx>
        <w:trPr>
          <w:trHeight w:val="39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16:30-18:00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循证药学专业委员会全体委员会议</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12月19日（周日）上午  分论坛三：循证药学与药物研究</w:t>
            </w:r>
          </w:p>
        </w:tc>
      </w:tr>
      <w:tr>
        <w:tblPrEx>
          <w:tblCellMar>
            <w:top w:w="0" w:type="dxa"/>
            <w:left w:w="0" w:type="dxa"/>
            <w:bottom w:w="0" w:type="dxa"/>
            <w:right w:w="0" w:type="dxa"/>
          </w:tblCellMar>
        </w:tblPrEx>
        <w:trPr>
          <w:trHeight w:val="134"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08:15-08:30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医药新知 抗肿瘤药物分级管理循证药学实践</w:t>
            </w:r>
          </w:p>
        </w:tc>
      </w:tr>
      <w:tr>
        <w:tblPrEx>
          <w:tblCellMar>
            <w:top w:w="0" w:type="dxa"/>
            <w:left w:w="0" w:type="dxa"/>
            <w:bottom w:w="0" w:type="dxa"/>
            <w:right w:w="0" w:type="dxa"/>
          </w:tblCellMar>
        </w:tblPrEx>
        <w:trPr>
          <w:trHeight w:val="20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08:30-08:35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开场致辞</w:t>
            </w:r>
          </w:p>
        </w:tc>
      </w:tr>
      <w:tr>
        <w:tblPrEx>
          <w:tblCellMar>
            <w:top w:w="0" w:type="dxa"/>
            <w:left w:w="0" w:type="dxa"/>
            <w:bottom w:w="0" w:type="dxa"/>
            <w:right w:w="0" w:type="dxa"/>
          </w:tblCellMar>
        </w:tblPrEx>
        <w:trPr>
          <w:trHeight w:val="15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08:35-09:00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中医现代发展之路：从循证中医到数智中医</w:t>
            </w:r>
          </w:p>
        </w:tc>
      </w:tr>
      <w:tr>
        <w:tblPrEx>
          <w:tblCellMar>
            <w:top w:w="0" w:type="dxa"/>
            <w:left w:w="0" w:type="dxa"/>
            <w:bottom w:w="0" w:type="dxa"/>
            <w:right w:w="0" w:type="dxa"/>
          </w:tblCellMar>
        </w:tblPrEx>
        <w:trPr>
          <w:trHeight w:val="23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09:00-09:25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基于大数据的医保支付方式改革在广州上海的实践</w:t>
            </w:r>
          </w:p>
        </w:tc>
      </w:tr>
      <w:tr>
        <w:tblPrEx>
          <w:tblCellMar>
            <w:top w:w="0" w:type="dxa"/>
            <w:left w:w="0" w:type="dxa"/>
            <w:bottom w:w="0" w:type="dxa"/>
            <w:right w:w="0" w:type="dxa"/>
          </w:tblCellMar>
        </w:tblPrEx>
        <w:trPr>
          <w:trHeight w:val="15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09:25-09:50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基于临床真实世界证据的中药质量标志物的发现与确认</w:t>
            </w:r>
          </w:p>
        </w:tc>
      </w:tr>
      <w:tr>
        <w:tblPrEx>
          <w:tblCellMar>
            <w:top w:w="0" w:type="dxa"/>
            <w:left w:w="0" w:type="dxa"/>
            <w:bottom w:w="0" w:type="dxa"/>
            <w:right w:w="0" w:type="dxa"/>
          </w:tblCellMar>
        </w:tblPrEx>
        <w:trPr>
          <w:trHeight w:val="88"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09:50-10:15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专病真实世界数据研究创新与实践</w:t>
            </w:r>
          </w:p>
        </w:tc>
      </w:tr>
      <w:tr>
        <w:tblPrEx>
          <w:tblCellMar>
            <w:top w:w="0" w:type="dxa"/>
            <w:left w:w="0" w:type="dxa"/>
            <w:bottom w:w="0" w:type="dxa"/>
            <w:right w:w="0" w:type="dxa"/>
          </w:tblCellMar>
        </w:tblPrEx>
        <w:trPr>
          <w:trHeight w:val="340"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10:15-10:40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乳腺癌的真实世界研究</w:t>
            </w:r>
          </w:p>
        </w:tc>
      </w:tr>
      <w:tr>
        <w:tblPrEx>
          <w:tblCellMar>
            <w:top w:w="0" w:type="dxa"/>
            <w:left w:w="0" w:type="dxa"/>
            <w:bottom w:w="0" w:type="dxa"/>
            <w:right w:w="0" w:type="dxa"/>
          </w:tblCellMar>
        </w:tblPrEx>
        <w:trPr>
          <w:trHeight w:val="392"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10:40-11:05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融合数据驱动和知识驱动的老年常见病多重用药风险数据挖掘技术和风险识别模型研发</w:t>
            </w:r>
          </w:p>
        </w:tc>
      </w:tr>
      <w:tr>
        <w:tblPrEx>
          <w:tblCellMar>
            <w:top w:w="0" w:type="dxa"/>
            <w:left w:w="0" w:type="dxa"/>
            <w:bottom w:w="0" w:type="dxa"/>
            <w:right w:w="0" w:type="dxa"/>
          </w:tblCellMar>
        </w:tblPrEx>
        <w:trPr>
          <w:trHeight w:val="160"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11:05-11:30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循证药学思维与证据生产转化</w:t>
            </w:r>
          </w:p>
        </w:tc>
      </w:tr>
      <w:tr>
        <w:tblPrEx>
          <w:tblCellMar>
            <w:top w:w="0" w:type="dxa"/>
            <w:left w:w="0" w:type="dxa"/>
            <w:bottom w:w="0" w:type="dxa"/>
            <w:right w:w="0" w:type="dxa"/>
          </w:tblCellMar>
        </w:tblPrEx>
        <w:trPr>
          <w:trHeight w:val="23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11:30-11:40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会议总结</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12月19日（周日）上午  分论坛四：循证药学与指南</w:t>
            </w:r>
          </w:p>
        </w:tc>
      </w:tr>
      <w:tr>
        <w:tblPrEx>
          <w:tblCellMar>
            <w:top w:w="0" w:type="dxa"/>
            <w:left w:w="0" w:type="dxa"/>
            <w:bottom w:w="0" w:type="dxa"/>
            <w:right w:w="0" w:type="dxa"/>
          </w:tblCellMar>
        </w:tblPrEx>
        <w:trPr>
          <w:trHeight w:val="31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08:15-08:30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医药新知 司美格鲁肽心血管获益循证解读</w:t>
            </w:r>
          </w:p>
        </w:tc>
      </w:tr>
      <w:tr>
        <w:tblPrEx>
          <w:tblCellMar>
            <w:top w:w="0" w:type="dxa"/>
            <w:left w:w="0" w:type="dxa"/>
            <w:bottom w:w="0" w:type="dxa"/>
            <w:right w:w="0" w:type="dxa"/>
          </w:tblCellMar>
        </w:tblPrEx>
        <w:trPr>
          <w:trHeight w:val="25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08:30-08:35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开场致辞</w:t>
            </w:r>
          </w:p>
        </w:tc>
      </w:tr>
      <w:tr>
        <w:tblPrEx>
          <w:tblCellMar>
            <w:top w:w="0" w:type="dxa"/>
            <w:left w:w="0" w:type="dxa"/>
            <w:bottom w:w="0" w:type="dxa"/>
            <w:right w:w="0" w:type="dxa"/>
          </w:tblCellMar>
        </w:tblPrEx>
        <w:trPr>
          <w:trHeight w:val="186"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08:35-09:00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指南临床适用性评价研究</w:t>
            </w:r>
          </w:p>
        </w:tc>
      </w:tr>
      <w:tr>
        <w:tblPrEx>
          <w:tblCellMar>
            <w:top w:w="0" w:type="dxa"/>
            <w:left w:w="0" w:type="dxa"/>
            <w:bottom w:w="0" w:type="dxa"/>
            <w:right w:w="0" w:type="dxa"/>
          </w:tblCellMar>
        </w:tblPrEx>
        <w:trPr>
          <w:trHeight w:val="26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09:00-09:25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万古霉素治疗药学监测证据的产生与临床决策支持系统</w:t>
            </w:r>
          </w:p>
        </w:tc>
      </w:tr>
      <w:tr>
        <w:tblPrEx>
          <w:tblCellMar>
            <w:top w:w="0" w:type="dxa"/>
            <w:left w:w="0" w:type="dxa"/>
            <w:bottom w:w="0" w:type="dxa"/>
            <w:right w:w="0" w:type="dxa"/>
          </w:tblCellMar>
        </w:tblPrEx>
        <w:trPr>
          <w:trHeight w:val="33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09:25-09:50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HTA在指南制定中的应用</w:t>
            </w:r>
          </w:p>
        </w:tc>
      </w:tr>
      <w:tr>
        <w:tblPrEx>
          <w:tblCellMar>
            <w:top w:w="0" w:type="dxa"/>
            <w:left w:w="0" w:type="dxa"/>
            <w:bottom w:w="0" w:type="dxa"/>
            <w:right w:w="0" w:type="dxa"/>
          </w:tblCellMar>
        </w:tblPrEx>
        <w:trPr>
          <w:trHeight w:val="25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09:50-10:15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The trend in global guidelines for pharmacoeconomic evaluation</w:t>
            </w:r>
          </w:p>
        </w:tc>
      </w:tr>
      <w:tr>
        <w:tblPrEx>
          <w:tblCellMar>
            <w:top w:w="0" w:type="dxa"/>
            <w:left w:w="0" w:type="dxa"/>
            <w:bottom w:w="0" w:type="dxa"/>
            <w:right w:w="0" w:type="dxa"/>
          </w:tblCellMar>
        </w:tblPrEx>
        <w:trPr>
          <w:trHeight w:val="21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10:15-10:40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加拿大安大略省癌症医学指南中心指南制定经验分享</w:t>
            </w:r>
          </w:p>
        </w:tc>
      </w:tr>
      <w:tr>
        <w:tblPrEx>
          <w:tblCellMar>
            <w:top w:w="0" w:type="dxa"/>
            <w:left w:w="0" w:type="dxa"/>
            <w:bottom w:w="0" w:type="dxa"/>
            <w:right w:w="0" w:type="dxa"/>
          </w:tblCellMar>
        </w:tblPrEx>
        <w:trPr>
          <w:trHeight w:val="310"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10:40-11:05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医疗机构药品遴选指南简介</w:t>
            </w:r>
          </w:p>
        </w:tc>
      </w:tr>
      <w:tr>
        <w:tblPrEx>
          <w:tblCellMar>
            <w:top w:w="0" w:type="dxa"/>
            <w:left w:w="0" w:type="dxa"/>
            <w:bottom w:w="0" w:type="dxa"/>
            <w:right w:w="0" w:type="dxa"/>
          </w:tblCellMar>
        </w:tblPrEx>
        <w:trPr>
          <w:trHeight w:val="24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11:05-11:30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中国临床实践指南、共识解读类文献报告质量分析</w:t>
            </w:r>
          </w:p>
        </w:tc>
      </w:tr>
      <w:tr>
        <w:tblPrEx>
          <w:tblCellMar>
            <w:top w:w="0" w:type="dxa"/>
            <w:left w:w="0" w:type="dxa"/>
            <w:bottom w:w="0" w:type="dxa"/>
            <w:right w:w="0" w:type="dxa"/>
          </w:tblCellMar>
        </w:tblPrEx>
        <w:trPr>
          <w:trHeight w:val="31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11:30-11:55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临床实践指南透明度评价工具的循证构建</w:t>
            </w:r>
          </w:p>
        </w:tc>
      </w:tr>
      <w:tr>
        <w:tblPrEx>
          <w:tblCellMar>
            <w:top w:w="0" w:type="dxa"/>
            <w:left w:w="0" w:type="dxa"/>
            <w:bottom w:w="0" w:type="dxa"/>
            <w:right w:w="0" w:type="dxa"/>
          </w:tblCellMar>
        </w:tblPrEx>
        <w:trPr>
          <w:trHeight w:val="253"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11:55-12:05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会议总结</w:t>
            </w:r>
          </w:p>
        </w:tc>
      </w:tr>
      <w:tr>
        <w:tblPrEx>
          <w:tblCellMar>
            <w:top w:w="0" w:type="dxa"/>
            <w:left w:w="0" w:type="dxa"/>
            <w:bottom w:w="0" w:type="dxa"/>
            <w:right w:w="0" w:type="dxa"/>
          </w:tblCellMar>
        </w:tblPrEx>
        <w:trPr>
          <w:trHeight w:val="397" w:hRule="atLeast"/>
          <w:jc w:val="center"/>
        </w:trPr>
        <w:tc>
          <w:tcPr>
            <w:tcW w:w="9771" w:type="dxa"/>
            <w:gridSpan w:val="2"/>
            <w:tcBorders>
              <w:top w:val="single" w:color="A5A5A5" w:sz="8" w:space="0"/>
              <w:left w:val="single" w:color="A5A5A5" w:sz="8" w:space="0"/>
              <w:bottom w:val="single" w:color="A5A5A5" w:sz="8" w:space="0"/>
              <w:right w:val="single" w:color="A5A5A5" w:sz="8" w:space="0"/>
            </w:tcBorders>
            <w:shd w:val="clear" w:color="auto" w:fill="FBE5D6"/>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12月19日（周日）下午  分论坛五：“循证后浪”—青年药师沙龙</w:t>
            </w:r>
          </w:p>
        </w:tc>
      </w:tr>
      <w:tr>
        <w:tblPrEx>
          <w:tblCellMar>
            <w:top w:w="0" w:type="dxa"/>
            <w:left w:w="0" w:type="dxa"/>
            <w:bottom w:w="0" w:type="dxa"/>
            <w:right w:w="0" w:type="dxa"/>
          </w:tblCellMar>
        </w:tblPrEx>
        <w:trPr>
          <w:trHeight w:val="32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13:00-13:15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医药新知 生长激素的合理应用与患者获益</w:t>
            </w:r>
          </w:p>
        </w:tc>
      </w:tr>
      <w:tr>
        <w:tblPrEx>
          <w:tblCellMar>
            <w:top w:w="0" w:type="dxa"/>
            <w:left w:w="0" w:type="dxa"/>
            <w:bottom w:w="0" w:type="dxa"/>
            <w:right w:w="0" w:type="dxa"/>
          </w:tblCellMar>
        </w:tblPrEx>
        <w:trPr>
          <w:trHeight w:val="24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13:15-13:30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开场致辞</w:t>
            </w:r>
          </w:p>
        </w:tc>
      </w:tr>
      <w:tr>
        <w:tblPrEx>
          <w:tblCellMar>
            <w:top w:w="0" w:type="dxa"/>
            <w:left w:w="0" w:type="dxa"/>
            <w:bottom w:w="0" w:type="dxa"/>
            <w:right w:w="0" w:type="dxa"/>
          </w:tblCellMar>
        </w:tblPrEx>
        <w:trPr>
          <w:trHeight w:val="317"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13:30-13:45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BMJ快速推荐系列指南制定经验分享</w:t>
            </w:r>
          </w:p>
        </w:tc>
      </w:tr>
      <w:tr>
        <w:tblPrEx>
          <w:tblCellMar>
            <w:top w:w="0" w:type="dxa"/>
            <w:left w:w="0" w:type="dxa"/>
            <w:bottom w:w="0" w:type="dxa"/>
            <w:right w:w="0" w:type="dxa"/>
          </w:tblCellMar>
        </w:tblPrEx>
        <w:trPr>
          <w:trHeight w:val="54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13:45-14:00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14项流行饮食方案的常量营养素模式在降低成人体重和心血管危险因素中的比较：基于随机试验的系统评价和网状Meta分析</w:t>
            </w:r>
          </w:p>
        </w:tc>
      </w:tr>
      <w:tr>
        <w:tblPrEx>
          <w:tblCellMar>
            <w:top w:w="0" w:type="dxa"/>
            <w:left w:w="0" w:type="dxa"/>
            <w:bottom w:w="0" w:type="dxa"/>
            <w:right w:w="0" w:type="dxa"/>
          </w:tblCellMar>
        </w:tblPrEx>
        <w:trPr>
          <w:trHeight w:val="16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14:00-14:15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高质量系统评价的进阶之路</w:t>
            </w:r>
          </w:p>
        </w:tc>
      </w:tr>
      <w:tr>
        <w:tblPrEx>
          <w:tblCellMar>
            <w:top w:w="0" w:type="dxa"/>
            <w:left w:w="0" w:type="dxa"/>
            <w:bottom w:w="0" w:type="dxa"/>
            <w:right w:w="0" w:type="dxa"/>
          </w:tblCellMar>
        </w:tblPrEx>
        <w:trPr>
          <w:trHeight w:val="251"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14:15-14:30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补充维生素D与死亡率间的关系：系统评价和Meta分析</w:t>
            </w:r>
          </w:p>
        </w:tc>
      </w:tr>
      <w:tr>
        <w:tblPrEx>
          <w:tblCellMar>
            <w:top w:w="0" w:type="dxa"/>
            <w:left w:w="0" w:type="dxa"/>
            <w:bottom w:w="0" w:type="dxa"/>
            <w:right w:w="0" w:type="dxa"/>
          </w:tblCellMar>
        </w:tblPrEx>
        <w:trPr>
          <w:trHeight w:val="18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14:30-14:45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新冠肺炎核心指标集研制路径及转化应用</w:t>
            </w:r>
          </w:p>
        </w:tc>
      </w:tr>
      <w:tr>
        <w:tblPrEx>
          <w:tblCellMar>
            <w:top w:w="0" w:type="dxa"/>
            <w:left w:w="0" w:type="dxa"/>
            <w:bottom w:w="0" w:type="dxa"/>
            <w:right w:w="0" w:type="dxa"/>
          </w:tblCellMar>
        </w:tblPrEx>
        <w:trPr>
          <w:trHeight w:val="262"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14:45-15:00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基于DIKW模型的帕金森病动态个体化给药研究</w:t>
            </w:r>
          </w:p>
        </w:tc>
      </w:tr>
      <w:tr>
        <w:tblPrEx>
          <w:tblCellMar>
            <w:top w:w="0" w:type="dxa"/>
            <w:left w:w="0" w:type="dxa"/>
            <w:bottom w:w="0" w:type="dxa"/>
            <w:right w:w="0" w:type="dxa"/>
          </w:tblCellMar>
        </w:tblPrEx>
        <w:trPr>
          <w:trHeight w:val="20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15:00-15:15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基于多源大数据的药品短缺动态预警与综合应对机制研究</w:t>
            </w:r>
          </w:p>
        </w:tc>
      </w:tr>
      <w:tr>
        <w:tblPrEx>
          <w:tblCellMar>
            <w:top w:w="0" w:type="dxa"/>
            <w:left w:w="0" w:type="dxa"/>
            <w:bottom w:w="0" w:type="dxa"/>
            <w:right w:w="0" w:type="dxa"/>
          </w:tblCellMar>
        </w:tblPrEx>
        <w:trPr>
          <w:trHeight w:val="285"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15:15-15:30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N-3 PUFAs缓解内质网应激在抑郁症发病与治疗中的作用</w:t>
            </w:r>
          </w:p>
        </w:tc>
      </w:tr>
      <w:tr>
        <w:tblPrEx>
          <w:tblCellMar>
            <w:top w:w="0" w:type="dxa"/>
            <w:left w:w="0" w:type="dxa"/>
            <w:bottom w:w="0" w:type="dxa"/>
            <w:right w:w="0" w:type="dxa"/>
          </w:tblCellMar>
        </w:tblPrEx>
        <w:trPr>
          <w:trHeight w:val="21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15:30-15:45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基于高维真实世界医疗大数据的ICU患者用药风险监测评价</w:t>
            </w:r>
          </w:p>
        </w:tc>
      </w:tr>
      <w:tr>
        <w:tblPrEx>
          <w:tblCellMar>
            <w:top w:w="0" w:type="dxa"/>
            <w:left w:w="0" w:type="dxa"/>
            <w:bottom w:w="0" w:type="dxa"/>
            <w:right w:w="0" w:type="dxa"/>
          </w:tblCellMar>
        </w:tblPrEx>
        <w:trPr>
          <w:trHeight w:val="309"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15:45-16:05</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专家点评</w:t>
            </w:r>
          </w:p>
        </w:tc>
      </w:tr>
      <w:tr>
        <w:tblPrEx>
          <w:tblCellMar>
            <w:top w:w="0" w:type="dxa"/>
            <w:left w:w="0" w:type="dxa"/>
            <w:bottom w:w="0" w:type="dxa"/>
            <w:right w:w="0" w:type="dxa"/>
          </w:tblCellMar>
        </w:tblPrEx>
        <w:trPr>
          <w:trHeight w:val="230" w:hRule="atLeast"/>
          <w:jc w:val="center"/>
        </w:trPr>
        <w:tc>
          <w:tcPr>
            <w:tcW w:w="1691"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kern w:val="0"/>
                <w:sz w:val="24"/>
                <w:szCs w:val="24"/>
              </w:rPr>
              <w:t>16:05-16:10</w:t>
            </w:r>
          </w:p>
        </w:tc>
        <w:tc>
          <w:tcPr>
            <w:tcW w:w="8080" w:type="dxa"/>
            <w:tcBorders>
              <w:top w:val="single" w:color="A5A5A5" w:sz="8" w:space="0"/>
              <w:left w:val="single" w:color="A5A5A5" w:sz="8" w:space="0"/>
              <w:bottom w:val="single" w:color="A5A5A5" w:sz="8" w:space="0"/>
              <w:right w:val="single" w:color="A5A5A5" w:sz="8" w:space="0"/>
            </w:tcBorders>
            <w:shd w:val="clear" w:color="auto" w:fill="FFFFFF"/>
            <w:tcMar>
              <w:top w:w="15" w:type="dxa"/>
              <w:left w:w="108" w:type="dxa"/>
              <w:bottom w:w="0" w:type="dxa"/>
              <w:right w:w="108" w:type="dxa"/>
            </w:tcMar>
            <w:vAlign w:val="center"/>
          </w:tcPr>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sz w:val="24"/>
                <w:szCs w:val="24"/>
              </w:rPr>
              <w:t>会议总结</w:t>
            </w:r>
          </w:p>
        </w:tc>
      </w:tr>
    </w:tbl>
    <w:p>
      <w:pPr>
        <w:adjustRightInd w:val="0"/>
        <w:snapToGrid w:val="0"/>
        <w:rPr>
          <w:rFonts w:hint="eastAsia" w:ascii="微软雅黑" w:hAnsi="微软雅黑" w:eastAsia="微软雅黑" w:cs="微软雅黑"/>
          <w:color w:val="000000" w:themeColor="text1"/>
          <w:sz w:val="24"/>
          <w:szCs w:val="24"/>
          <w14:textFill>
            <w14:solidFill>
              <w14:schemeClr w14:val="tx1"/>
            </w14:solidFill>
          </w14:textFill>
        </w:rPr>
        <w:sectPr>
          <w:pgSz w:w="11906" w:h="16838"/>
          <w:pgMar w:top="754" w:right="1080" w:bottom="528" w:left="1080" w:header="851" w:footer="737"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7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2021-12-02T07:21:47Z</dcterms:created>
  <dc:creator>liuxiaohua</dc:creator>
  <cp:lastModifiedBy>liuxiaohua</cp:lastModifiedBy>
  <dcterms:modified xsi:type="dcterms:W3CDTF">2021-12-02T07:21:59Z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DE6DC58DD630413CAC1F50134A153EDD</vt:lpwstr>
  </property>
</Properties>
</file>