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eastAsia="方正小标宋简体" w:cs="仿宋"/>
          <w:color w:val="000000"/>
          <w:sz w:val="44"/>
          <w:szCs w:val="44"/>
        </w:rPr>
        <w:t>第四届生物技术药物临床研究关键技术研讨会日程</w:t>
      </w:r>
    </w:p>
    <w:p>
      <w:pPr>
        <w:spacing w:line="560" w:lineRule="exact"/>
        <w:jc w:val="center"/>
        <w:rPr>
          <w:rFonts w:ascii="方正小标宋简体" w:eastAsia="方正小标宋简体" w:cs="仿宋"/>
          <w:color w:val="000000"/>
          <w:sz w:val="18"/>
          <w:szCs w:val="18"/>
          <w:lang w:val="en-US"/>
        </w:rPr>
      </w:pPr>
    </w:p>
    <w:tbl>
      <w:tblPr>
        <w:tblStyle w:val="7"/>
        <w:tblW w:w="59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44"/>
        <w:gridCol w:w="4043"/>
        <w:gridCol w:w="2557"/>
        <w:gridCol w:w="6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680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ascii="仿宋_GB2312" w:hAnsi="等线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讲题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讲者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4月16日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8:40-9:00</w:t>
            </w:r>
          </w:p>
        </w:tc>
        <w:tc>
          <w:tcPr>
            <w:tcW w:w="8360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ascii="仿宋_GB2312" w:hAnsi="Calibri" w:eastAsia="仿宋_GB2312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9:00-9:40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类器官与药物代谢研究</w:t>
            </w:r>
          </w:p>
        </w:tc>
        <w:tc>
          <w:tcPr>
            <w:tcW w:w="2558" w:type="dxa"/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刘叔文 教授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南方医科大学副校长/国家药监局药物代谢研究与评价重点实验室主任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bidi="ar-SA"/>
              </w:rPr>
              <w:t>李亦蕾 主任</w:t>
            </w:r>
          </w:p>
          <w:p>
            <w:pPr>
              <w:jc w:val="both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bidi="ar-SA"/>
              </w:rPr>
              <w:t>南方医科大学南方医院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9:40-10:20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ascii="仿宋_GB2312" w:hAnsi="Calibri" w:eastAsia="仿宋_GB2312"/>
              </w:rPr>
              <w:t xml:space="preserve">创新的价值体现-首款中国CAR-T疗法的十个月之行  </w:t>
            </w:r>
          </w:p>
        </w:tc>
        <w:tc>
          <w:tcPr>
            <w:tcW w:w="2558" w:type="dxa"/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ascii="仿宋_GB2312" w:hAnsi="Calibri" w:eastAsia="仿宋_GB2312"/>
              </w:rPr>
              <w:t>黄海 CEO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复星凯特生物科技有限公司</w:t>
            </w:r>
          </w:p>
        </w:tc>
        <w:tc>
          <w:tcPr>
            <w:tcW w:w="1753" w:type="dxa"/>
            <w:gridSpan w:val="2"/>
            <w:vMerge w:val="continue"/>
          </w:tcPr>
          <w:p>
            <w:pPr>
              <w:jc w:val="both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10：20-10:30</w:t>
            </w:r>
          </w:p>
        </w:tc>
        <w:tc>
          <w:tcPr>
            <w:tcW w:w="8360" w:type="dxa"/>
            <w:gridSpan w:val="4"/>
            <w:shd w:val="clear" w:color="auto" w:fill="auto"/>
            <w:vAlign w:val="center"/>
          </w:tcPr>
          <w:p>
            <w:pPr>
              <w:jc w:val="both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hAnsi="Calibri" w:eastAsia="仿宋_GB2312"/>
                <w:sz w:val="24"/>
                <w:szCs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:3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0-11: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超分子递送系统介导的药物与mRNA新冠疫苗体内时空命运研究</w:t>
            </w:r>
          </w:p>
        </w:tc>
        <w:tc>
          <w:tcPr>
            <w:tcW w:w="2558" w:type="dxa"/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顾景凯 教授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吉林大学生命科学学院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bidi="ar-SA"/>
              </w:rPr>
              <w:t>毕惠嫦 院长</w:t>
            </w:r>
          </w:p>
          <w:p>
            <w:pPr>
              <w:jc w:val="both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bidi="ar-SA"/>
              </w:rPr>
              <w:t>南方医科大学药学院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11: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0-11: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中国境内注册生物药临床研究案例介绍与分析</w:t>
            </w:r>
          </w:p>
        </w:tc>
        <w:tc>
          <w:tcPr>
            <w:tcW w:w="2558" w:type="dxa"/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ascii="仿宋_GB2312" w:hAnsi="Calibri" w:eastAsia="仿宋_GB2312"/>
              </w:rPr>
              <w:t>许重远</w:t>
            </w:r>
            <w:r>
              <w:rPr>
                <w:rFonts w:hint="eastAsia" w:ascii="仿宋_GB2312" w:hAnsi="Calibri" w:eastAsia="仿宋_GB2312"/>
              </w:rPr>
              <w:t xml:space="preserve"> 教授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南方医科大学南方医院</w:t>
            </w:r>
          </w:p>
        </w:tc>
        <w:tc>
          <w:tcPr>
            <w:tcW w:w="1753" w:type="dxa"/>
            <w:gridSpan w:val="2"/>
            <w:vMerge w:val="continue"/>
          </w:tcPr>
          <w:p>
            <w:pPr>
              <w:jc w:val="both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11:50-14:20</w:t>
            </w:r>
          </w:p>
        </w:tc>
        <w:tc>
          <w:tcPr>
            <w:tcW w:w="8360" w:type="dxa"/>
            <w:gridSpan w:val="4"/>
            <w:shd w:val="clear" w:color="auto" w:fill="auto"/>
            <w:vAlign w:val="center"/>
          </w:tcPr>
          <w:p>
            <w:pPr>
              <w:jc w:val="both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hAnsi="Calibri" w:eastAsia="仿宋_GB2312"/>
                <w:sz w:val="24"/>
                <w:szCs w:val="24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2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14:20-15:00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生物标志物在生物技术药物临床研究中的作用和意义</w:t>
            </w:r>
          </w:p>
        </w:tc>
        <w:tc>
          <w:tcPr>
            <w:tcW w:w="2558" w:type="dxa"/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ascii="仿宋_GB2312" w:hAnsi="Calibri" w:eastAsia="仿宋_GB2312"/>
              </w:rPr>
              <w:t>宋海峰</w:t>
            </w:r>
            <w:r>
              <w:rPr>
                <w:rFonts w:hint="eastAsia" w:ascii="仿宋_GB2312" w:hAnsi="Calibri" w:eastAsia="仿宋_GB2312"/>
              </w:rPr>
              <w:t xml:space="preserve"> 主任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蛋白质药物国家工程研究中心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hAnsi="Calibri" w:eastAsia="仿宋_GB2312"/>
                <w:sz w:val="24"/>
                <w:szCs w:val="24"/>
              </w:rPr>
              <w:t>车津晶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研究员</w:t>
            </w:r>
          </w:p>
          <w:p>
            <w:pPr>
              <w:jc w:val="both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bidi="ar-SA"/>
              </w:rPr>
              <w:t>军事医学研究院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15:00-15:40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干细胞药物在肛瘘适应症的</w:t>
            </w:r>
            <w:r>
              <w:rPr>
                <w:rFonts w:ascii="仿宋_GB2312" w:hAnsi="Calibri" w:eastAsia="仿宋_GB2312"/>
              </w:rPr>
              <w:t>I期临床研究</w:t>
            </w:r>
          </w:p>
        </w:tc>
        <w:tc>
          <w:tcPr>
            <w:tcW w:w="2558" w:type="dxa"/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廖联明 教授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福建医科大学附属协和医院</w:t>
            </w:r>
          </w:p>
        </w:tc>
        <w:tc>
          <w:tcPr>
            <w:tcW w:w="1753" w:type="dxa"/>
            <w:gridSpan w:val="2"/>
            <w:vMerge w:val="continue"/>
          </w:tcPr>
          <w:p>
            <w:pPr>
              <w:jc w:val="both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4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15:40-16:20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ascii="仿宋_GB2312" w:hAnsi="Calibri" w:eastAsia="仿宋_GB2312"/>
              </w:rPr>
              <w:t>应用bulk RNA-seq揭示免疫检查点抑制剂的响应和耐药机制</w:t>
            </w:r>
          </w:p>
        </w:tc>
        <w:tc>
          <w:tcPr>
            <w:tcW w:w="2558" w:type="dxa"/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韩刚高级研究员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信达生物转化医学</w:t>
            </w:r>
          </w:p>
        </w:tc>
        <w:tc>
          <w:tcPr>
            <w:tcW w:w="1753" w:type="dxa"/>
            <w:gridSpan w:val="2"/>
            <w:vMerge w:val="continue"/>
          </w:tcPr>
          <w:p>
            <w:pPr>
              <w:jc w:val="both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16:20-17:00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圆桌论坛（中国生物技术药物临床研究的机遇和挑战）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张  华  苏州大学附属第一医院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秦  群  中南大学湘雅医院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ascii="仿宋_GB2312" w:hAnsi="Calibri" w:eastAsia="仿宋_GB2312"/>
              </w:rPr>
              <w:t>李劲彤</w:t>
            </w:r>
            <w:r>
              <w:rPr>
                <w:rFonts w:hint="eastAsia" w:ascii="仿宋_GB2312" w:hAnsi="Calibri" w:eastAsia="仿宋_GB2312"/>
              </w:rPr>
              <w:t xml:space="preserve">  中日友好医院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蔡  芸  解放军总医院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 xml:space="preserve">胡金龙 </w:t>
            </w:r>
            <w:r>
              <w:rPr>
                <w:rFonts w:ascii="仿宋_GB2312" w:hAnsi="Calibri" w:eastAsia="仿宋_GB2312"/>
              </w:rPr>
              <w:t xml:space="preserve"> </w:t>
            </w:r>
            <w:r>
              <w:rPr>
                <w:rFonts w:hint="eastAsia" w:ascii="仿宋_GB2312" w:hAnsi="Calibri" w:eastAsia="仿宋_GB2312"/>
              </w:rPr>
              <w:t>信达生物制药集团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张  海  康龙化成</w:t>
            </w:r>
            <w:r>
              <w:rPr>
                <w:rFonts w:ascii="仿宋_GB2312" w:hAnsi="Calibri" w:eastAsia="仿宋_GB2312"/>
              </w:rPr>
              <w:t>(北京)新药技术股份有限公司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黄  怡</w:t>
            </w:r>
            <w:r>
              <w:rPr>
                <w:rFonts w:ascii="仿宋_GB2312" w:hAnsi="Calibri" w:eastAsia="仿宋_GB2312"/>
              </w:rPr>
              <w:t xml:space="preserve"> </w:t>
            </w:r>
            <w:r>
              <w:rPr>
                <w:rFonts w:hint="eastAsia" w:ascii="仿宋_GB2312" w:hAnsi="Calibri" w:eastAsia="仿宋_GB2312"/>
              </w:rPr>
              <w:t xml:space="preserve"> </w:t>
            </w:r>
            <w:r>
              <w:rPr>
                <w:rFonts w:ascii="仿宋_GB2312" w:hAnsi="Calibri" w:eastAsia="仿宋_GB2312"/>
              </w:rPr>
              <w:t>诺诚健华</w:t>
            </w:r>
            <w:r>
              <w:rPr>
                <w:rFonts w:hint="eastAsia" w:ascii="仿宋_GB2312" w:hAnsi="Calibri" w:eastAsia="仿宋_GB2312"/>
              </w:rPr>
              <w:t>医药有限公司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许重远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南方医科大学南方医院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4月17日</w:t>
            </w:r>
          </w:p>
        </w:tc>
        <w:tc>
          <w:tcPr>
            <w:tcW w:w="980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</w:rPr>
            </w:pPr>
            <w:r>
              <w:rPr>
                <w:rFonts w:hint="eastAsia" w:ascii="仿宋_GB2312" w:hAnsi="Calibri" w:eastAsia="仿宋_GB2312"/>
                <w:b/>
              </w:rPr>
              <w:t>药物/医疗器械临床试验质量管理规范（GCP）专题培训班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0-9: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ascii="仿宋_GB2312" w:hAnsi="Calibri" w:eastAsia="仿宋_GB2312"/>
              </w:rPr>
              <w:t>疫情下的临床试验管理</w:t>
            </w:r>
          </w:p>
        </w:tc>
        <w:tc>
          <w:tcPr>
            <w:tcW w:w="2558" w:type="dxa"/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ascii="仿宋_GB2312" w:hAnsi="Calibri" w:eastAsia="仿宋_GB2312"/>
              </w:rPr>
              <w:t>蒋发烨</w:t>
            </w:r>
            <w:r>
              <w:rPr>
                <w:rFonts w:hint="eastAsia" w:ascii="仿宋_GB2312" w:hAnsi="Calibri" w:eastAsia="仿宋_GB2312"/>
              </w:rPr>
              <w:t xml:space="preserve"> </w:t>
            </w:r>
            <w:r>
              <w:rPr>
                <w:rFonts w:ascii="仿宋_GB2312" w:hAnsi="Calibri" w:eastAsia="仿宋_GB2312"/>
              </w:rPr>
              <w:t>主任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广东省人民医院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hAnsi="Calibri" w:eastAsia="仿宋_GB2312"/>
                <w:sz w:val="24"/>
                <w:szCs w:val="24"/>
              </w:rPr>
              <w:t>司徒冰主任</w:t>
            </w:r>
          </w:p>
          <w:p>
            <w:pPr>
              <w:jc w:val="both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广州医科大学附属第三医院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9: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药物临床试验实施流程关注要点及研究者</w:t>
            </w:r>
            <w:r>
              <w:rPr>
                <w:rFonts w:ascii="仿宋_GB2312" w:hAnsi="Calibri" w:eastAsia="仿宋_GB2312"/>
              </w:rPr>
              <w:t xml:space="preserve">GCP意识  </w:t>
            </w:r>
          </w:p>
        </w:tc>
        <w:tc>
          <w:tcPr>
            <w:tcW w:w="2558" w:type="dxa"/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ascii="仿宋_GB2312" w:hAnsi="Calibri" w:eastAsia="仿宋_GB2312"/>
              </w:rPr>
              <w:t>贺帅</w:t>
            </w:r>
            <w:r>
              <w:rPr>
                <w:rFonts w:hint="eastAsia" w:ascii="仿宋_GB2312" w:hAnsi="Calibri" w:eastAsia="仿宋_GB2312"/>
              </w:rPr>
              <w:t xml:space="preserve"> 主任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ascii="仿宋_GB2312" w:hAnsi="Calibri" w:eastAsia="仿宋_GB2312"/>
              </w:rPr>
              <w:t>南方医科大学珠江医院</w:t>
            </w:r>
          </w:p>
        </w:tc>
        <w:tc>
          <w:tcPr>
            <w:tcW w:w="1753" w:type="dxa"/>
            <w:gridSpan w:val="2"/>
            <w:vMerge w:val="continue"/>
          </w:tcPr>
          <w:p>
            <w:pPr>
              <w:jc w:val="both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9:3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ascii="仿宋_GB2312" w:hAnsi="Calibri" w:eastAsia="仿宋_GB2312"/>
              </w:rPr>
              <w:t>临床专业组管理制度与</w:t>
            </w:r>
            <w:r>
              <w:rPr>
                <w:rFonts w:hint="eastAsia" w:ascii="仿宋_GB2312" w:hAnsi="Calibri" w:eastAsia="仿宋_GB2312"/>
              </w:rPr>
              <w:t>SOP的制定与执行</w:t>
            </w:r>
          </w:p>
        </w:tc>
        <w:tc>
          <w:tcPr>
            <w:tcW w:w="2558" w:type="dxa"/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ascii="仿宋_GB2312" w:hAnsi="Calibri" w:eastAsia="仿宋_GB2312"/>
              </w:rPr>
              <w:t>张勋</w:t>
            </w:r>
            <w:r>
              <w:rPr>
                <w:rFonts w:hint="eastAsia" w:ascii="仿宋_GB2312" w:hAnsi="Calibri" w:eastAsia="仿宋_GB2312"/>
              </w:rPr>
              <w:t xml:space="preserve"> </w:t>
            </w:r>
            <w:r>
              <w:rPr>
                <w:rFonts w:ascii="仿宋_GB2312" w:hAnsi="Calibri" w:eastAsia="仿宋_GB2312"/>
              </w:rPr>
              <w:t>主任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ascii="仿宋_GB2312" w:hAnsi="Calibri" w:eastAsia="仿宋_GB2312"/>
              </w:rPr>
              <w:t>广东省中医院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hAnsi="Calibri" w:eastAsia="仿宋_GB2312"/>
                <w:sz w:val="24"/>
                <w:szCs w:val="24"/>
              </w:rPr>
              <w:t>潘芸芸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博士</w:t>
            </w:r>
          </w:p>
          <w:p>
            <w:pPr>
              <w:jc w:val="both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广东药科大学附属第一医院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2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试验用药品管理流程与关注要点</w:t>
            </w:r>
          </w:p>
        </w:tc>
        <w:tc>
          <w:tcPr>
            <w:tcW w:w="2558" w:type="dxa"/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ascii="仿宋_GB2312" w:hAnsi="Calibri" w:eastAsia="仿宋_GB2312"/>
              </w:rPr>
              <w:t>杨红英主任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深圳市人民医院</w:t>
            </w: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jc w:val="both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:00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新版《医疗器械临床试验质量管理规范》学习与思考</w:t>
            </w:r>
          </w:p>
        </w:tc>
        <w:tc>
          <w:tcPr>
            <w:tcW w:w="2558" w:type="dxa"/>
            <w:vAlign w:val="center"/>
          </w:tcPr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ascii="仿宋_GB2312" w:hAnsi="Calibri" w:eastAsia="仿宋_GB2312"/>
              </w:rPr>
              <w:t>唐蕾</w:t>
            </w:r>
            <w:r>
              <w:rPr>
                <w:rFonts w:hint="eastAsia" w:ascii="仿宋_GB2312" w:hAnsi="Calibri" w:eastAsia="仿宋_GB2312"/>
              </w:rPr>
              <w:t xml:space="preserve"> 主任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中山大学附属第一医院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hAnsi="Calibri" w:eastAsia="仿宋_GB2312"/>
                <w:sz w:val="24"/>
                <w:szCs w:val="24"/>
              </w:rPr>
              <w:t>叶丽卡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/>
                <w:sz w:val="24"/>
                <w:szCs w:val="24"/>
              </w:rPr>
              <w:t>主任</w:t>
            </w:r>
          </w:p>
          <w:p>
            <w:pPr>
              <w:jc w:val="both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广州医科大学附属第二医院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:00-1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医疗器械临床试验项目常见问题分析</w:t>
            </w:r>
          </w:p>
        </w:tc>
        <w:tc>
          <w:tcPr>
            <w:tcW w:w="2558" w:type="dxa"/>
            <w:vAlign w:val="center"/>
          </w:tcPr>
          <w:p>
            <w:pPr>
              <w:spacing w:line="360" w:lineRule="auto"/>
              <w:jc w:val="both"/>
              <w:rPr>
                <w:rFonts w:ascii="仿宋_GB2312" w:hAnsi="Calibri" w:eastAsia="仿宋_GB2312"/>
              </w:rPr>
            </w:pPr>
            <w:r>
              <w:rPr>
                <w:rFonts w:ascii="仿宋_GB2312" w:hAnsi="Calibri" w:eastAsia="仿宋_GB2312"/>
              </w:rPr>
              <w:t>曾晓晖</w:t>
            </w:r>
            <w:r>
              <w:rPr>
                <w:rFonts w:hint="eastAsia" w:ascii="仿宋_GB2312" w:hAnsi="Calibri" w:eastAsia="仿宋_GB2312"/>
              </w:rPr>
              <w:t xml:space="preserve"> </w:t>
            </w:r>
            <w:r>
              <w:rPr>
                <w:rFonts w:ascii="仿宋_GB2312" w:hAnsi="Calibri" w:eastAsia="仿宋_GB2312"/>
              </w:rPr>
              <w:t>主任</w:t>
            </w:r>
          </w:p>
          <w:p>
            <w:pPr>
              <w:jc w:val="both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广州市花都区人民医院</w:t>
            </w:r>
          </w:p>
        </w:tc>
        <w:tc>
          <w:tcPr>
            <w:tcW w:w="1753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ascii="仿宋_GB2312" w:hAnsi="Calibri" w:eastAsia="仿宋_GB2312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eastAsia="方正小标宋简体" w:cs="仿宋"/>
          <w:color w:val="000000"/>
          <w:sz w:val="18"/>
          <w:szCs w:val="18"/>
          <w:lang w:val="en-US"/>
        </w:rPr>
      </w:pPr>
    </w:p>
    <w:p>
      <w:pPr>
        <w:spacing w:line="560" w:lineRule="exact"/>
        <w:rPr>
          <w:rFonts w:ascii="黑体" w:hAnsi="黑体" w:eastAsia="黑体" w:cs="仿宋"/>
          <w:color w:val="000000"/>
          <w:sz w:val="32"/>
          <w:szCs w:val="32"/>
        </w:rPr>
      </w:pPr>
    </w:p>
    <w:p>
      <w:pPr>
        <w:widowControl/>
        <w:autoSpaceDE/>
        <w:autoSpaceDN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</w:p>
    <w:sectPr>
      <w:footerReference r:id="rId3" w:type="default"/>
      <w:type w:val="continuous"/>
      <w:pgSz w:w="11910" w:h="16840"/>
      <w:pgMar w:top="1418" w:right="1418" w:bottom="1418" w:left="1418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1375826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</w:rPr>
          <w:t>1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8A"/>
    <w:rsid w:val="000302C3"/>
    <w:rsid w:val="00030EF7"/>
    <w:rsid w:val="0003401F"/>
    <w:rsid w:val="00045546"/>
    <w:rsid w:val="00085D04"/>
    <w:rsid w:val="000E776F"/>
    <w:rsid w:val="00113E3C"/>
    <w:rsid w:val="0016661B"/>
    <w:rsid w:val="001A3549"/>
    <w:rsid w:val="001A4319"/>
    <w:rsid w:val="001C0E41"/>
    <w:rsid w:val="001D3E56"/>
    <w:rsid w:val="00200907"/>
    <w:rsid w:val="00207288"/>
    <w:rsid w:val="00214F18"/>
    <w:rsid w:val="00222719"/>
    <w:rsid w:val="002447BD"/>
    <w:rsid w:val="00250B4B"/>
    <w:rsid w:val="0026138A"/>
    <w:rsid w:val="002916F5"/>
    <w:rsid w:val="002E250C"/>
    <w:rsid w:val="00301AFE"/>
    <w:rsid w:val="00335C7A"/>
    <w:rsid w:val="003507B8"/>
    <w:rsid w:val="00377993"/>
    <w:rsid w:val="00387589"/>
    <w:rsid w:val="003A51E3"/>
    <w:rsid w:val="003A5D64"/>
    <w:rsid w:val="003A5F1B"/>
    <w:rsid w:val="003C735E"/>
    <w:rsid w:val="003E16A8"/>
    <w:rsid w:val="003E66A9"/>
    <w:rsid w:val="00430F0F"/>
    <w:rsid w:val="00477345"/>
    <w:rsid w:val="0048028C"/>
    <w:rsid w:val="0048630F"/>
    <w:rsid w:val="00496E5D"/>
    <w:rsid w:val="004B4814"/>
    <w:rsid w:val="004B6800"/>
    <w:rsid w:val="004C66F2"/>
    <w:rsid w:val="004E2D7D"/>
    <w:rsid w:val="005033D4"/>
    <w:rsid w:val="005103FA"/>
    <w:rsid w:val="00532EAC"/>
    <w:rsid w:val="00546B5D"/>
    <w:rsid w:val="00554794"/>
    <w:rsid w:val="005727F1"/>
    <w:rsid w:val="005A5DEE"/>
    <w:rsid w:val="005B38AF"/>
    <w:rsid w:val="005D4D4E"/>
    <w:rsid w:val="005D6CBE"/>
    <w:rsid w:val="00601100"/>
    <w:rsid w:val="00621463"/>
    <w:rsid w:val="00636B0C"/>
    <w:rsid w:val="006B6C8F"/>
    <w:rsid w:val="006E5A54"/>
    <w:rsid w:val="00722854"/>
    <w:rsid w:val="0073508C"/>
    <w:rsid w:val="00741105"/>
    <w:rsid w:val="0076232B"/>
    <w:rsid w:val="00762B3C"/>
    <w:rsid w:val="00791401"/>
    <w:rsid w:val="007C54EF"/>
    <w:rsid w:val="00815E0E"/>
    <w:rsid w:val="008161E7"/>
    <w:rsid w:val="00822BAA"/>
    <w:rsid w:val="0086331E"/>
    <w:rsid w:val="00881155"/>
    <w:rsid w:val="0089202F"/>
    <w:rsid w:val="008A5237"/>
    <w:rsid w:val="008E1A98"/>
    <w:rsid w:val="00970035"/>
    <w:rsid w:val="00986838"/>
    <w:rsid w:val="00986A27"/>
    <w:rsid w:val="00995C5A"/>
    <w:rsid w:val="00996CA5"/>
    <w:rsid w:val="009B5150"/>
    <w:rsid w:val="009C34DD"/>
    <w:rsid w:val="009C5478"/>
    <w:rsid w:val="009E33F1"/>
    <w:rsid w:val="00A547DA"/>
    <w:rsid w:val="00AA2951"/>
    <w:rsid w:val="00AA7932"/>
    <w:rsid w:val="00AA7DF2"/>
    <w:rsid w:val="00AC0B0B"/>
    <w:rsid w:val="00AC67A8"/>
    <w:rsid w:val="00AF6D67"/>
    <w:rsid w:val="00B11F79"/>
    <w:rsid w:val="00B218EF"/>
    <w:rsid w:val="00B22720"/>
    <w:rsid w:val="00B704EE"/>
    <w:rsid w:val="00B86359"/>
    <w:rsid w:val="00B87B56"/>
    <w:rsid w:val="00BB7531"/>
    <w:rsid w:val="00BE4ACF"/>
    <w:rsid w:val="00C277CA"/>
    <w:rsid w:val="00C472A5"/>
    <w:rsid w:val="00C506AC"/>
    <w:rsid w:val="00C65CD4"/>
    <w:rsid w:val="00C76686"/>
    <w:rsid w:val="00C83F88"/>
    <w:rsid w:val="00C847D4"/>
    <w:rsid w:val="00CA485A"/>
    <w:rsid w:val="00D01DA0"/>
    <w:rsid w:val="00D44865"/>
    <w:rsid w:val="00D53AB7"/>
    <w:rsid w:val="00D81D11"/>
    <w:rsid w:val="00D87B1B"/>
    <w:rsid w:val="00DE73AB"/>
    <w:rsid w:val="00E025AD"/>
    <w:rsid w:val="00E15E33"/>
    <w:rsid w:val="00E24B73"/>
    <w:rsid w:val="00E37F2B"/>
    <w:rsid w:val="00E6587C"/>
    <w:rsid w:val="00E81096"/>
    <w:rsid w:val="00E917AA"/>
    <w:rsid w:val="00EB0472"/>
    <w:rsid w:val="00EC37BA"/>
    <w:rsid w:val="00ED515F"/>
    <w:rsid w:val="00F068DE"/>
    <w:rsid w:val="00F121A1"/>
    <w:rsid w:val="00F16D34"/>
    <w:rsid w:val="00F338D2"/>
    <w:rsid w:val="00F47CBA"/>
    <w:rsid w:val="00F67F06"/>
    <w:rsid w:val="00F91F81"/>
    <w:rsid w:val="00F97C08"/>
    <w:rsid w:val="33D53D97"/>
    <w:rsid w:val="44C62F5A"/>
    <w:rsid w:val="471626FB"/>
    <w:rsid w:val="52E1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104"/>
    </w:pPr>
    <w:rPr>
      <w:sz w:val="32"/>
      <w:szCs w:val="32"/>
    </w:r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iPriority w:val="99"/>
    <w:rPr>
      <w:color w:val="0563C1"/>
      <w:u w:val="single"/>
    </w:rPr>
  </w:style>
  <w:style w:type="table" w:customStyle="1" w:styleId="10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字符"/>
    <w:basedOn w:val="8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4">
    <w:name w:val="页眉 字符"/>
    <w:basedOn w:val="8"/>
    <w:link w:val="6"/>
    <w:uiPriority w:val="99"/>
    <w:rPr>
      <w:rFonts w:ascii="宋体" w:hAnsi="宋体"/>
      <w:sz w:val="18"/>
      <w:szCs w:val="18"/>
      <w:lang w:val="zh-CN" w:eastAsia="zh-CN" w:bidi="zh-CN"/>
    </w:rPr>
  </w:style>
  <w:style w:type="character" w:customStyle="1" w:styleId="15">
    <w:name w:val="页脚 字符"/>
    <w:basedOn w:val="8"/>
    <w:link w:val="5"/>
    <w:uiPriority w:val="99"/>
    <w:rPr>
      <w:rFonts w:ascii="宋体" w:hAnsi="宋体"/>
      <w:sz w:val="18"/>
      <w:szCs w:val="18"/>
      <w:lang w:val="zh-CN" w:eastAsia="zh-CN" w:bidi="zh-CN"/>
    </w:rPr>
  </w:style>
  <w:style w:type="character" w:customStyle="1" w:styleId="16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日期 字符"/>
    <w:basedOn w:val="8"/>
    <w:link w:val="3"/>
    <w:semiHidden/>
    <w:uiPriority w:val="99"/>
    <w:rPr>
      <w:rFonts w:ascii="宋体" w:hAnsi="宋体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1969</Words>
  <Characters>2328</Characters>
  <Lines>19</Lines>
  <Paragraphs>5</Paragraphs>
  <TotalTime>25</TotalTime>
  <ScaleCrop>false</ScaleCrop>
  <LinksUpToDate>false</LinksUpToDate>
  <CharactersWithSpaces>2486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2022-04-14T05:33:00Z</dcterms:created>
  <dc:creator>Xtzj.User</dc:creator>
  <cp:lastModifiedBy>王雷</cp:lastModifiedBy>
  <cp:lastPrinted>2022-04-15T01:34:00Z</cp:lastPrinted>
  <dcterms:modified xsi:type="dcterms:W3CDTF">2022-04-15T02:26:17Z</dcterms:modified>
  <dc:title>中 国 药 学 会 文 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2019-03-26T00:00:00Z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D2882665CACF4C8AA8359ACA152A84D2</vt:lpwstr>
  </property>
</Properties>
</file>