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1</w:t>
      </w:r>
      <w:r>
        <w:rPr>
          <w:rFonts w:ascii="黑体" w:hAnsi="黑体" w:eastAsia="黑体" w:cs="Times New Roman"/>
          <w:color w:val="000000" w:themeColor="text1"/>
          <w:sz w:val="32"/>
          <w:szCs w:val="32"/>
          <w14:textFill>
            <w14:solidFill>
              <w14:schemeClr w14:val="tx1"/>
            </w14:solidFill>
          </w14:textFill>
        </w:rPr>
        <w:t>：</w:t>
      </w:r>
    </w:p>
    <w:p>
      <w:pPr>
        <w:adjustRightInd w:val="0"/>
        <w:snapToGrid w:val="0"/>
        <w:spacing w:before="159" w:beforeLines="50"/>
        <w:jc w:val="center"/>
        <w:rPr>
          <w:rFonts w:ascii="方正小标宋简体" w:hAnsi="黑体"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第九届中国药学会药物检测质量管理学术研讨会</w:t>
      </w:r>
    </w:p>
    <w:p>
      <w:pPr>
        <w:adjustRightInd w:val="0"/>
        <w:snapToGrid w:val="0"/>
        <w:jc w:val="center"/>
        <w:rPr>
          <w:rFonts w:ascii="方正小标宋简体" w:hAnsi="黑体"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日程</w:t>
      </w:r>
    </w:p>
    <w:p>
      <w:pPr>
        <w:adjustRightInd w:val="0"/>
        <w:snapToGrid w:val="0"/>
        <w:jc w:val="center"/>
        <w:rPr>
          <w:rFonts w:ascii="方正小标宋简体" w:hAnsi="黑体" w:eastAsia="方正小标宋简体"/>
          <w:color w:val="000000" w:themeColor="text1"/>
          <w:sz w:val="11"/>
          <w:szCs w:val="11"/>
          <w14:textFill>
            <w14:solidFill>
              <w14:schemeClr w14:val="tx1"/>
            </w14:solidFill>
          </w14:textFill>
        </w:rPr>
      </w:pPr>
    </w:p>
    <w:tbl>
      <w:tblPr>
        <w:tblStyle w:val="9"/>
        <w:tblW w:w="10785" w:type="dxa"/>
        <w:tblInd w:w="-88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994"/>
        <w:gridCol w:w="4657"/>
        <w:gridCol w:w="20"/>
        <w:gridCol w:w="368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785" w:type="dxa"/>
            <w:gridSpan w:val="5"/>
            <w:vAlign w:val="center"/>
          </w:tcPr>
          <w:p>
            <w:pPr>
              <w:pStyle w:val="3"/>
              <w:adjustRightInd w:val="0"/>
              <w:snapToGrid w:val="0"/>
              <w:jc w:val="center"/>
              <w:rPr>
                <w:rFonts w:asciiTheme="minorEastAsia" w:hAnsiTheme="minorEastAsia" w:eastAsiaTheme="minorEastAsia"/>
                <w:sz w:val="28"/>
                <w:szCs w:val="28"/>
              </w:rPr>
            </w:pPr>
            <w:r>
              <w:rPr>
                <w:rFonts w:hint="eastAsia" w:eastAsia="华文中宋" w:asciiTheme="minorHAnsi" w:hAnsiTheme="minorHAnsi"/>
                <w:sz w:val="28"/>
                <w:szCs w:val="28"/>
              </w:rPr>
              <w:t>开幕式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785" w:type="dxa"/>
            <w:gridSpan w:val="5"/>
            <w:vAlign w:val="center"/>
          </w:tcPr>
          <w:p>
            <w:pPr>
              <w:pStyle w:val="3"/>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时  间：</w:t>
            </w:r>
            <w:r>
              <w:rPr>
                <w:rFonts w:hint="eastAsia" w:asciiTheme="minorEastAsia" w:hAnsiTheme="minorEastAsia" w:eastAsiaTheme="minorEastAsia"/>
                <w:sz w:val="21"/>
                <w:szCs w:val="21"/>
              </w:rPr>
              <w:t>202</w:t>
            </w:r>
            <w:r>
              <w:rPr>
                <w:rFonts w:asciiTheme="minorEastAsia" w:hAnsiTheme="minorEastAsia" w:eastAsiaTheme="minorEastAsia"/>
                <w:sz w:val="21"/>
                <w:szCs w:val="21"/>
              </w:rPr>
              <w:t>2</w:t>
            </w:r>
            <w:r>
              <w:rPr>
                <w:rFonts w:hint="eastAsia" w:asciiTheme="minorEastAsia" w:hAnsiTheme="minorEastAsia" w:eastAsiaTheme="minorEastAsia"/>
                <w:sz w:val="21"/>
                <w:szCs w:val="21"/>
              </w:rPr>
              <w:t>年</w:t>
            </w:r>
            <w:r>
              <w:rPr>
                <w:rFonts w:asciiTheme="minorEastAsia" w:hAnsiTheme="minorEastAsia" w:eastAsiaTheme="minorEastAsia"/>
                <w:sz w:val="21"/>
                <w:szCs w:val="21"/>
              </w:rPr>
              <w:t>9</w:t>
            </w:r>
            <w:r>
              <w:rPr>
                <w:rFonts w:hint="eastAsia" w:asciiTheme="minorEastAsia" w:hAnsiTheme="minorEastAsia" w:eastAsiaTheme="minorEastAsia"/>
                <w:sz w:val="21"/>
                <w:szCs w:val="21"/>
              </w:rPr>
              <w:t>月</w:t>
            </w:r>
            <w:r>
              <w:rPr>
                <w:rFonts w:asciiTheme="minorEastAsia" w:hAnsiTheme="minorEastAsia" w:eastAsiaTheme="minorEastAsia"/>
                <w:sz w:val="21"/>
                <w:szCs w:val="21"/>
              </w:rPr>
              <w:t>7</w:t>
            </w:r>
            <w:r>
              <w:rPr>
                <w:rFonts w:hint="eastAsia" w:asciiTheme="minorEastAsia" w:hAnsiTheme="minorEastAsia" w:eastAsiaTheme="minorEastAsia"/>
                <w:sz w:val="21"/>
                <w:szCs w:val="21"/>
              </w:rPr>
              <w:t>日8</w:t>
            </w:r>
            <w:r>
              <w:rPr>
                <w:rFonts w:asciiTheme="minorEastAsia" w:hAnsiTheme="minorEastAsia" w:eastAsiaTheme="minorEastAsia"/>
                <w:sz w:val="21"/>
                <w:szCs w:val="21"/>
              </w:rPr>
              <w:t>:30-8:40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785" w:type="dxa"/>
            <w:gridSpan w:val="5"/>
            <w:vAlign w:val="center"/>
          </w:tcPr>
          <w:p>
            <w:pPr>
              <w:pStyle w:val="3"/>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地  点：</w:t>
            </w:r>
            <w:r>
              <w:rPr>
                <w:rFonts w:hint="eastAsia" w:asciiTheme="minorEastAsia" w:hAnsiTheme="minorEastAsia" w:eastAsiaTheme="minorEastAsia"/>
                <w:sz w:val="21"/>
                <w:szCs w:val="21"/>
              </w:rPr>
              <w:t>北京万方苑</w:t>
            </w:r>
            <w:r>
              <w:rPr>
                <w:rFonts w:asciiTheme="minorEastAsia" w:hAnsiTheme="minorEastAsia" w:eastAsiaTheme="minorEastAsia"/>
                <w:sz w:val="21"/>
                <w:szCs w:val="21"/>
              </w:rPr>
              <w:t>国际酒店</w:t>
            </w:r>
            <w:r>
              <w:rPr>
                <w:rFonts w:hint="eastAsia" w:asciiTheme="minorEastAsia" w:hAnsiTheme="minorEastAsia" w:eastAsiaTheme="minorEastAsia"/>
                <w:sz w:val="21"/>
                <w:szCs w:val="21"/>
              </w:rPr>
              <w:t>六楼</w:t>
            </w:r>
            <w:r>
              <w:rPr>
                <w:rFonts w:asciiTheme="minorEastAsia" w:hAnsiTheme="minorEastAsia" w:eastAsiaTheme="minorEastAsia"/>
                <w:sz w:val="21"/>
                <w:szCs w:val="21"/>
              </w:rPr>
              <w:t>综合</w:t>
            </w:r>
            <w:r>
              <w:rPr>
                <w:rFonts w:hint="eastAsia" w:asciiTheme="minorEastAsia" w:hAnsiTheme="minorEastAsia" w:eastAsiaTheme="minorEastAsia"/>
                <w:sz w:val="21"/>
                <w:szCs w:val="21"/>
              </w:rPr>
              <w:t>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785" w:type="dxa"/>
            <w:gridSpan w:val="5"/>
            <w:vAlign w:val="center"/>
          </w:tcPr>
          <w:p>
            <w:pPr>
              <w:pStyle w:val="3"/>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举办</w:t>
            </w:r>
            <w:r>
              <w:rPr>
                <w:rFonts w:asciiTheme="minorEastAsia" w:hAnsiTheme="minorEastAsia" w:eastAsiaTheme="minorEastAsia"/>
                <w:sz w:val="21"/>
                <w:szCs w:val="21"/>
              </w:rPr>
              <w:t>形式：线上</w:t>
            </w:r>
            <w:r>
              <w:rPr>
                <w:rFonts w:hint="eastAsia" w:asciiTheme="minorEastAsia" w:hAnsiTheme="minorEastAsia" w:eastAsiaTheme="minorEastAsia"/>
                <w:sz w:val="21"/>
                <w:szCs w:val="21"/>
              </w:rPr>
              <w:t>+</w:t>
            </w:r>
            <w:r>
              <w:rPr>
                <w:rFonts w:asciiTheme="minorEastAsia" w:hAnsiTheme="minorEastAsia" w:eastAsiaTheme="minorEastAsia"/>
                <w:sz w:val="21"/>
                <w:szCs w:val="21"/>
              </w:rPr>
              <w:t>线下结合方式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785" w:type="dxa"/>
            <w:gridSpan w:val="5"/>
            <w:vAlign w:val="center"/>
          </w:tcPr>
          <w:p>
            <w:pPr>
              <w:pStyle w:val="3"/>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主持人：</w:t>
            </w:r>
            <w:r>
              <w:rPr>
                <w:rFonts w:hint="eastAsia" w:asciiTheme="minorEastAsia" w:hAnsiTheme="minorEastAsia" w:eastAsiaTheme="minorEastAsia"/>
                <w:sz w:val="21"/>
                <w:szCs w:val="21"/>
              </w:rPr>
              <w:t>张河战、孙京林，刘海静</w:t>
            </w:r>
            <w:r>
              <w:rPr>
                <w:rFonts w:asciiTheme="minorEastAsia" w:hAnsiTheme="minorEastAsia" w:eastAsiaTheme="minorEastAsia"/>
                <w:sz w:val="21"/>
                <w:szCs w:val="21"/>
              </w:rPr>
              <w:t>、</w:t>
            </w:r>
            <w:r>
              <w:rPr>
                <w:rFonts w:hint="eastAsia" w:asciiTheme="minorEastAsia" w:hAnsiTheme="minorEastAsia" w:eastAsiaTheme="minorEastAsia"/>
                <w:sz w:val="21"/>
                <w:szCs w:val="21"/>
              </w:rPr>
              <w:t>王志斌、罗卓雅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3" w:hRule="atLeast"/>
        </w:trPr>
        <w:tc>
          <w:tcPr>
            <w:tcW w:w="10785" w:type="dxa"/>
            <w:gridSpan w:val="5"/>
            <w:tcBorders>
              <w:top w:val="single" w:color="auto" w:sz="4" w:space="0"/>
              <w:left w:val="double" w:color="000000" w:themeColor="text1" w:sz="4" w:space="0"/>
              <w:bottom w:val="single" w:color="auto" w:sz="4" w:space="0"/>
              <w:right w:val="double" w:color="000000" w:themeColor="text1" w:sz="4" w:space="0"/>
            </w:tcBorders>
          </w:tcPr>
          <w:p>
            <w:pPr>
              <w:pStyle w:val="3"/>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内  容</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介绍领导和嘉宾</w:t>
            </w:r>
          </w:p>
          <w:p>
            <w:pPr>
              <w:pStyle w:val="3"/>
              <w:adjustRightInd w:val="0"/>
              <w:snapToGrid w:val="0"/>
              <w:ind w:left="84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领导和嘉宾致辞</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trPr>
        <w:tc>
          <w:tcPr>
            <w:tcW w:w="10785" w:type="dxa"/>
            <w:gridSpan w:val="5"/>
            <w:tcBorders>
              <w:top w:val="single" w:color="auto" w:sz="4" w:space="0"/>
              <w:left w:val="double" w:color="000000" w:themeColor="text1" w:sz="4" w:space="0"/>
              <w:bottom w:val="single" w:color="auto" w:sz="4" w:space="0"/>
              <w:right w:val="double" w:color="000000" w:themeColor="text1" w:sz="4" w:space="0"/>
            </w:tcBorders>
            <w:vAlign w:val="center"/>
          </w:tcPr>
          <w:p>
            <w:pPr>
              <w:pStyle w:val="3"/>
              <w:adjustRightInd w:val="0"/>
              <w:snapToGrid w:val="0"/>
              <w:jc w:val="center"/>
              <w:rPr>
                <w:rFonts w:eastAsia="华文中宋" w:asciiTheme="minorHAnsi" w:hAnsiTheme="minorHAnsi"/>
                <w:sz w:val="28"/>
                <w:szCs w:val="28"/>
              </w:rPr>
            </w:pPr>
            <w:r>
              <w:rPr>
                <w:rFonts w:eastAsia="华文中宋" w:asciiTheme="minorHAnsi" w:hAnsiTheme="minorHAnsi"/>
                <w:sz w:val="28"/>
                <w:szCs w:val="28"/>
              </w:rPr>
              <w:t>特邀报告</w:t>
            </w:r>
            <w:r>
              <w:rPr>
                <w:rFonts w:hint="eastAsia" w:eastAsia="华文中宋" w:asciiTheme="minorHAnsi" w:hAnsiTheme="minorHAnsi"/>
                <w:sz w:val="28"/>
                <w:szCs w:val="28"/>
              </w:rPr>
              <w:t>（</w:t>
            </w:r>
            <w:r>
              <w:rPr>
                <w:rFonts w:asciiTheme="minorEastAsia" w:hAnsiTheme="minorEastAsia" w:eastAsiaTheme="minorEastAsia"/>
                <w:szCs w:val="21"/>
              </w:rPr>
              <w:t>线上</w:t>
            </w:r>
            <w:r>
              <w:rPr>
                <w:rFonts w:hint="eastAsia" w:asciiTheme="minorEastAsia" w:hAnsiTheme="minorEastAsia" w:eastAsiaTheme="minorEastAsia"/>
                <w:szCs w:val="21"/>
              </w:rPr>
              <w:t>+</w:t>
            </w:r>
            <w:r>
              <w:rPr>
                <w:rFonts w:asciiTheme="minorEastAsia" w:hAnsiTheme="minorEastAsia" w:eastAsiaTheme="minorEastAsia"/>
                <w:szCs w:val="21"/>
              </w:rPr>
              <w:t>线下结合方式</w:t>
            </w:r>
            <w:r>
              <w:rPr>
                <w:rFonts w:hint="eastAsia" w:eastAsia="华文中宋" w:asciiTheme="minorHAnsi" w:hAnsiTheme="minorHAnsi"/>
                <w:sz w:val="28"/>
                <w:szCs w:val="28"/>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atLeast"/>
        </w:trPr>
        <w:tc>
          <w:tcPr>
            <w:tcW w:w="1428" w:type="dxa"/>
            <w:tcBorders>
              <w:top w:val="single" w:color="auto" w:sz="4" w:space="0"/>
              <w:left w:val="double" w:color="000000" w:themeColor="text1" w:sz="4" w:space="0"/>
              <w:bottom w:val="single" w:color="auto" w:sz="4" w:space="0"/>
              <w:right w:val="single" w:color="000000" w:themeColor="text1"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时  间</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报告人</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 xml:space="preserve"> 报告题目</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单  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0</w:t>
            </w:r>
            <w:r>
              <w:rPr>
                <w:rFonts w:cs="Times New Roman" w:asciiTheme="minorEastAsia" w:hAnsiTheme="minorEastAsia"/>
                <w:caps/>
                <w:kern w:val="0"/>
                <w:szCs w:val="21"/>
              </w:rPr>
              <w:t>8</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0-09:</w:t>
            </w:r>
            <w:r>
              <w:rPr>
                <w:rFonts w:cs="Times New Roman" w:asciiTheme="minorEastAsia" w:hAnsiTheme="minorEastAsia"/>
                <w:caps/>
                <w:kern w:val="0"/>
                <w:szCs w:val="21"/>
              </w:rPr>
              <w:t>1</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adjustRightInd w:val="0"/>
              <w:snapToGrid w:val="0"/>
              <w:spacing w:before="159" w:beforeLines="50"/>
            </w:pPr>
            <w:r>
              <w:rPr>
                <w:rFonts w:hint="eastAsia"/>
              </w:rPr>
              <w:t>魏于全</w:t>
            </w:r>
          </w:p>
        </w:tc>
        <w:tc>
          <w:tcPr>
            <w:tcW w:w="4657" w:type="dxa"/>
            <w:tcBorders>
              <w:top w:val="single" w:color="auto" w:sz="4" w:space="0"/>
              <w:left w:val="single" w:color="auto" w:sz="4" w:space="0"/>
              <w:bottom w:val="single" w:color="auto" w:sz="4" w:space="0"/>
              <w:right w:val="single" w:color="auto" w:sz="4" w:space="0"/>
            </w:tcBorders>
          </w:tcPr>
          <w:p>
            <w:pPr>
              <w:adjustRightInd w:val="0"/>
              <w:snapToGrid w:val="0"/>
              <w:spacing w:before="159" w:beforeLines="50"/>
            </w:pPr>
            <w:r>
              <w:rPr>
                <w:rFonts w:hint="eastAsia"/>
              </w:rPr>
              <w:t>新冠疫苗研发的新技术进展</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pPr>
            <w:r>
              <w:rPr>
                <w:rFonts w:hint="eastAsia"/>
              </w:rPr>
              <w:t>四川大学，中科院院士</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09:</w:t>
            </w:r>
            <w:r>
              <w:rPr>
                <w:rFonts w:cs="Times New Roman" w:asciiTheme="minorEastAsia" w:hAnsiTheme="minorEastAsia"/>
                <w:caps/>
                <w:kern w:val="0"/>
                <w:szCs w:val="21"/>
              </w:rPr>
              <w:t>1</w:t>
            </w:r>
            <w:r>
              <w:rPr>
                <w:rFonts w:hint="eastAsia" w:cs="Times New Roman" w:asciiTheme="minorEastAsia" w:hAnsiTheme="minorEastAsia"/>
                <w:caps/>
                <w:kern w:val="0"/>
                <w:szCs w:val="21"/>
              </w:rPr>
              <w:t>0-0</w:t>
            </w:r>
            <w:r>
              <w:rPr>
                <w:rFonts w:cs="Times New Roman" w:asciiTheme="minorEastAsia" w:hAnsiTheme="minorEastAsia"/>
                <w:caps/>
                <w:kern w:val="0"/>
                <w:szCs w:val="21"/>
              </w:rPr>
              <w:t>9</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adjustRightInd w:val="0"/>
              <w:snapToGrid w:val="0"/>
              <w:spacing w:before="159" w:beforeLines="50"/>
            </w:pPr>
            <w:r>
              <w:rPr>
                <w:rFonts w:hint="eastAsia"/>
              </w:rPr>
              <w:t>丁丽霞</w:t>
            </w:r>
          </w:p>
        </w:tc>
        <w:tc>
          <w:tcPr>
            <w:tcW w:w="4657" w:type="dxa"/>
            <w:tcBorders>
              <w:top w:val="single" w:color="auto" w:sz="4" w:space="0"/>
              <w:left w:val="single" w:color="auto" w:sz="4" w:space="0"/>
              <w:bottom w:val="single" w:color="auto" w:sz="4" w:space="0"/>
              <w:right w:val="single" w:color="auto" w:sz="4" w:space="0"/>
            </w:tcBorders>
          </w:tcPr>
          <w:p>
            <w:pPr>
              <w:adjustRightInd w:val="0"/>
              <w:snapToGrid w:val="0"/>
              <w:spacing w:before="159" w:beforeLines="50"/>
            </w:pPr>
            <w:r>
              <w:rPr>
                <w:rFonts w:hint="eastAsia"/>
              </w:rPr>
              <w:t>《中国药典》的新任务与新进展</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pPr>
            <w:r>
              <w:rPr>
                <w:rFonts w:hint="eastAsia"/>
              </w:rPr>
              <w:t>国家药典委员会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09:40-10:10</w:t>
            </w:r>
          </w:p>
        </w:tc>
        <w:tc>
          <w:tcPr>
            <w:tcW w:w="994" w:type="dxa"/>
            <w:tcBorders>
              <w:top w:val="single" w:color="auto" w:sz="4" w:space="0"/>
              <w:left w:val="single" w:color="000000" w:themeColor="text1" w:sz="4" w:space="0"/>
              <w:bottom w:val="single" w:color="auto" w:sz="4" w:space="0"/>
              <w:right w:val="single" w:color="auto" w:sz="4" w:space="0"/>
            </w:tcBorders>
          </w:tcPr>
          <w:p>
            <w:pPr>
              <w:adjustRightInd w:val="0"/>
              <w:snapToGrid w:val="0"/>
              <w:spacing w:before="159" w:beforeLines="50"/>
              <w:rPr>
                <w:rFonts w:ascii="宋体" w:hAnsi="宋体" w:eastAsia="宋体"/>
                <w:szCs w:val="21"/>
              </w:rPr>
            </w:pPr>
            <w:r>
              <w:rPr>
                <w:rFonts w:hint="eastAsia" w:ascii="宋体" w:hAnsi="宋体" w:eastAsia="宋体"/>
                <w:szCs w:val="21"/>
              </w:rPr>
              <w:t>张  辉</w:t>
            </w:r>
          </w:p>
        </w:tc>
        <w:tc>
          <w:tcPr>
            <w:tcW w:w="4657" w:type="dxa"/>
            <w:tcBorders>
              <w:top w:val="single" w:color="auto" w:sz="4" w:space="0"/>
              <w:left w:val="single" w:color="auto" w:sz="4" w:space="0"/>
              <w:bottom w:val="single" w:color="auto" w:sz="4" w:space="0"/>
              <w:right w:val="single" w:color="auto" w:sz="4" w:space="0"/>
            </w:tcBorders>
          </w:tcPr>
          <w:p>
            <w:pPr>
              <w:adjustRightInd w:val="0"/>
              <w:snapToGrid w:val="0"/>
              <w:spacing w:before="159" w:beforeLines="50"/>
              <w:rPr>
                <w:rFonts w:ascii="宋体" w:hAnsi="宋体" w:eastAsia="宋体"/>
                <w:szCs w:val="21"/>
              </w:rPr>
            </w:pPr>
            <w:r>
              <w:rPr>
                <w:rFonts w:hint="eastAsia" w:ascii="宋体" w:hAnsi="宋体" w:eastAsia="宋体"/>
                <w:szCs w:val="21"/>
              </w:rPr>
              <w:t>疫苗批签发与实验室检验</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rPr>
                <w:rFonts w:ascii="宋体" w:hAnsi="宋体" w:eastAsia="宋体"/>
                <w:szCs w:val="21"/>
              </w:rPr>
            </w:pPr>
            <w:r>
              <w:rPr>
                <w:rFonts w:hint="eastAsia" w:ascii="宋体" w:hAnsi="宋体" w:eastAsia="宋体"/>
                <w:szCs w:val="21"/>
              </w:rPr>
              <w:t>中国食品药品检定研究院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10:10-10:40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孙京林</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WHO疫苗NRA评估</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国家药品监督管理局政策法规司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10:40-10:50</w:t>
            </w:r>
          </w:p>
        </w:tc>
        <w:tc>
          <w:tcPr>
            <w:tcW w:w="9357" w:type="dxa"/>
            <w:gridSpan w:val="4"/>
            <w:tcBorders>
              <w:top w:val="single" w:color="auto" w:sz="4" w:space="0"/>
              <w:left w:val="single" w:color="000000" w:themeColor="text1" w:sz="4" w:space="0"/>
              <w:bottom w:val="single" w:color="auto" w:sz="4" w:space="0"/>
              <w:right w:val="double" w:color="000000" w:themeColor="text1"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休  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10:50-11:20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贾汝静</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能力验证结果的利用</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中国合格评定国家认可委员会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11:20-11:50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王红平</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我国GLP与检验检测领域质量体系的异同</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四川省药品检验研究院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11:50-12:20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叶  超</w:t>
            </w:r>
          </w:p>
        </w:tc>
        <w:tc>
          <w:tcPr>
            <w:tcW w:w="4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医药企业生产质量的把关研究</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成都康弘药业集团股份有限公司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12:20-13:</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357" w:type="dxa"/>
            <w:gridSpan w:val="4"/>
            <w:tcBorders>
              <w:top w:val="single" w:color="auto" w:sz="4" w:space="0"/>
              <w:left w:val="single" w:color="000000" w:themeColor="text1" w:sz="4" w:space="0"/>
              <w:bottom w:val="single" w:color="auto" w:sz="4" w:space="0"/>
              <w:right w:val="double" w:color="000000" w:themeColor="text1"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午  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3</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line="360" w:lineRule="auto"/>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张金平</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line="360" w:lineRule="auto"/>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实验室数智化趋势分析</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snapToGrid w:val="0"/>
              <w:spacing w:before="50"/>
            </w:pPr>
            <w:r>
              <w:rPr>
                <w:rFonts w:hint="eastAsia"/>
              </w:rPr>
              <w:t>北京三维天地科技股份有限公司咨询总监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14</w:t>
            </w:r>
            <w:r>
              <w:rPr>
                <w:rFonts w:hint="eastAsia" w:cs="Times New Roman" w:asciiTheme="minorEastAsia" w:hAnsiTheme="minorEastAsia"/>
                <w:caps/>
                <w:kern w:val="0"/>
                <w:szCs w:val="21"/>
              </w:rPr>
              <w:t>:</w:t>
            </w:r>
            <w:r>
              <w:rPr>
                <w:rFonts w:cs="Times New Roman" w:asciiTheme="minorEastAsia" w:hAnsiTheme="minorEastAsia"/>
                <w:caps/>
                <w:kern w:val="0"/>
                <w:szCs w:val="21"/>
              </w:rPr>
              <w:t>00</w:t>
            </w:r>
            <w:r>
              <w:rPr>
                <w:rFonts w:hint="eastAsia" w:cs="Times New Roman" w:asciiTheme="minorEastAsia" w:hAnsiTheme="minorEastAsia"/>
                <w:caps/>
                <w:kern w:val="0"/>
                <w:szCs w:val="21"/>
              </w:rPr>
              <w:t>-</w:t>
            </w:r>
            <w:r>
              <w:rPr>
                <w:rFonts w:cs="Times New Roman" w:asciiTheme="minorEastAsia" w:hAnsiTheme="minorEastAsia"/>
                <w:caps/>
                <w:kern w:val="0"/>
                <w:szCs w:val="21"/>
              </w:rPr>
              <w:t>14</w:t>
            </w:r>
            <w:r>
              <w:rPr>
                <w:rFonts w:hint="eastAsia" w:cs="Times New Roman" w:asciiTheme="minorEastAsia" w:hAnsiTheme="minorEastAsia"/>
                <w:caps/>
                <w:kern w:val="0"/>
                <w:szCs w:val="21"/>
              </w:rPr>
              <w:t>:</w:t>
            </w:r>
            <w:r>
              <w:rPr>
                <w:rFonts w:cs="Times New Roman" w:asciiTheme="minorEastAsia" w:hAnsiTheme="minorEastAsia"/>
                <w:caps/>
                <w:kern w:val="0"/>
                <w:szCs w:val="21"/>
              </w:rPr>
              <w:t>2</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董  静</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质谱成像技术在中药材品质研究中的应用</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pPr>
            <w:r>
              <w:rPr>
                <w:rFonts w:hint="eastAsia"/>
              </w:rPr>
              <w:t>岛津企业管理（中国）有限公司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2</w:t>
            </w:r>
            <w:r>
              <w:rPr>
                <w:rFonts w:hint="eastAsia" w:cs="Times New Roman" w:asciiTheme="minorEastAsia" w:hAnsiTheme="minorEastAsia"/>
                <w:caps/>
                <w:kern w:val="0"/>
                <w:szCs w:val="21"/>
              </w:rPr>
              <w:t>0-1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李功恒</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color w:val="000000" w:themeColor="text1"/>
                <w:sz w:val="21"/>
                <w:szCs w:val="21"/>
                <w14:textFill>
                  <w14:solidFill>
                    <w14:schemeClr w14:val="tx1"/>
                  </w14:solidFill>
                </w14:textFill>
              </w:rPr>
            </w:pPr>
            <w:r>
              <w:rPr>
                <w:rFonts w:hint="eastAsia" w:hAnsi="宋体" w:cs="Times New Roman"/>
                <w:caps/>
                <w:color w:val="000000" w:themeColor="text1"/>
                <w:sz w:val="21"/>
                <w:szCs w:val="21"/>
                <w14:textFill>
                  <w14:solidFill>
                    <w14:schemeClr w14:val="tx1"/>
                  </w14:solidFill>
                </w14:textFill>
              </w:rPr>
              <w:t>配方颗粒方法的合规转换与开发</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pPr>
            <w:r>
              <w:rPr>
                <w:rFonts w:hint="eastAsia"/>
              </w:rPr>
              <w:t>安捷伦科技（中国）有限公司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szCs w:val="21"/>
              </w:rPr>
              <w:t>宋玉玲</w:t>
            </w:r>
          </w:p>
        </w:tc>
        <w:tc>
          <w:tcPr>
            <w:tcW w:w="4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szCs w:val="21"/>
              </w:rPr>
              <w:t>创新技术驱动杂质分析能力提升</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szCs w:val="21"/>
              </w:rPr>
              <w:t>沃特世科技(上海)有限公司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0</w:t>
            </w:r>
          </w:p>
        </w:tc>
        <w:tc>
          <w:tcPr>
            <w:tcW w:w="9357" w:type="dxa"/>
            <w:gridSpan w:val="4"/>
            <w:tcBorders>
              <w:top w:val="single" w:color="auto" w:sz="4" w:space="0"/>
              <w:left w:val="single" w:color="000000" w:themeColor="text1" w:sz="4" w:space="0"/>
              <w:bottom w:val="single" w:color="auto" w:sz="4" w:space="0"/>
              <w:right w:val="double" w:color="000000" w:themeColor="text1"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休  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15:</w:t>
            </w:r>
            <w:r>
              <w:rPr>
                <w:rFonts w:cs="Times New Roman" w:asciiTheme="minorEastAsia" w:hAnsiTheme="minorEastAsia"/>
                <w:caps/>
                <w:kern w:val="0"/>
                <w:szCs w:val="21"/>
              </w:rPr>
              <w:t>1</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color w:val="000000" w:themeColor="text1"/>
                <w:szCs w:val="21"/>
                <w14:textFill>
                  <w14:solidFill>
                    <w14:schemeClr w14:val="tx1"/>
                  </w14:solidFill>
                </w14:textFill>
              </w:rPr>
              <w:t>李  晨</w:t>
            </w:r>
          </w:p>
        </w:tc>
        <w:tc>
          <w:tcPr>
            <w:tcW w:w="4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color w:val="000000" w:themeColor="text1"/>
                <w:szCs w:val="21"/>
                <w14:textFill>
                  <w14:solidFill>
                    <w14:schemeClr w14:val="tx1"/>
                  </w14:solidFill>
                </w14:textFill>
              </w:rPr>
              <w:t>超高通量解决方案，多维提升药物质量管理</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布鲁克(北京)科技有限公司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15</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5</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kern w:val="0"/>
                <w:szCs w:val="21"/>
              </w:rPr>
              <w:t>原  庆</w:t>
            </w:r>
          </w:p>
        </w:tc>
        <w:tc>
          <w:tcPr>
            <w:tcW w:w="4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ascii="宋体" w:hAnsi="宋体" w:eastAsia="宋体" w:cs="Times New Roman"/>
                <w:caps/>
                <w:kern w:val="0"/>
                <w:szCs w:val="21"/>
              </w:rPr>
              <w:t>LIMS系统助力实验室合规高效</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北京三维天地科技股份有限公司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5</w:t>
            </w:r>
            <w:r>
              <w:rPr>
                <w:rFonts w:hint="eastAsia" w:cs="Times New Roman" w:asciiTheme="minorEastAsia" w:hAnsiTheme="minorEastAsia"/>
                <w:caps/>
                <w:kern w:val="0"/>
                <w:szCs w:val="21"/>
              </w:rPr>
              <w:t>0-1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szCs w:val="21"/>
              </w:rPr>
              <w:t>冀  峰</w:t>
            </w:r>
          </w:p>
        </w:tc>
        <w:tc>
          <w:tcPr>
            <w:tcW w:w="4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szCs w:val="21"/>
              </w:rPr>
              <w:t>阿莫西林热降解聚合物杂质</w:t>
            </w:r>
            <w:r>
              <w:rPr>
                <w:rFonts w:ascii="宋体" w:hAnsi="宋体" w:eastAsia="宋体" w:cs="Times New Roman"/>
                <w:caps/>
                <w:szCs w:val="21"/>
              </w:rPr>
              <w:t>2D-HPLC质谱分析</w:t>
            </w:r>
          </w:p>
        </w:tc>
        <w:tc>
          <w:tcPr>
            <w:tcW w:w="3706" w:type="dxa"/>
            <w:gridSpan w:val="2"/>
            <w:tcBorders>
              <w:top w:val="single" w:color="auto" w:sz="4" w:space="0"/>
              <w:left w:val="single" w:color="auto" w:sz="4" w:space="0"/>
              <w:bottom w:val="single" w:color="auto" w:sz="4" w:space="0"/>
              <w:right w:val="double" w:color="000000" w:themeColor="text1" w:sz="4" w:space="0"/>
            </w:tcBorders>
          </w:tcPr>
          <w:p>
            <w:pPr>
              <w:pStyle w:val="3"/>
              <w:adjustRightInd w:val="0"/>
              <w:snapToGrid w:val="0"/>
              <w:spacing w:before="159" w:beforeLines="50"/>
              <w:rPr>
                <w:rFonts w:hAnsi="宋体" w:cs="Times New Roman"/>
                <w:caps/>
                <w:snapToGrid w:val="0"/>
                <w:sz w:val="21"/>
                <w:szCs w:val="21"/>
              </w:rPr>
            </w:pPr>
            <w:r>
              <w:rPr>
                <w:rFonts w:hint="eastAsia" w:hAnsi="宋体" w:cs="Times New Roman"/>
                <w:caps/>
                <w:snapToGrid w:val="0"/>
                <w:sz w:val="21"/>
                <w:szCs w:val="21"/>
              </w:rPr>
              <w:t>岛津企业管理（中国）有限公司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0-1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color w:val="000000" w:themeColor="text1"/>
                <w:szCs w:val="21"/>
                <w14:textFill>
                  <w14:solidFill>
                    <w14:schemeClr w14:val="tx1"/>
                  </w14:solidFill>
                </w14:textFill>
              </w:rPr>
              <w:t>吴春蓉</w:t>
            </w:r>
          </w:p>
        </w:tc>
        <w:tc>
          <w:tcPr>
            <w:tcW w:w="4657" w:type="dxa"/>
            <w:tcBorders>
              <w:top w:val="single" w:color="auto" w:sz="4" w:space="0"/>
              <w:left w:val="single" w:color="auto" w:sz="4" w:space="0"/>
              <w:bottom w:val="single" w:color="auto" w:sz="4" w:space="0"/>
              <w:right w:val="single" w:color="auto" w:sz="4" w:space="0"/>
            </w:tcBorders>
          </w:tcPr>
          <w:p>
            <w:pPr>
              <w:adjustRightInd w:val="0"/>
              <w:snapToGrid w:val="0"/>
              <w:spacing w:before="159" w:beforeLines="50"/>
              <w:rPr>
                <w:rFonts w:ascii="宋体" w:hAnsi="宋体" w:eastAsia="宋体" w:cs="Times New Roman"/>
                <w:caps/>
                <w:kern w:val="0"/>
                <w:szCs w:val="21"/>
              </w:rPr>
            </w:pPr>
            <w:r>
              <w:rPr>
                <w:rFonts w:hint="eastAsia" w:ascii="宋体" w:hAnsi="宋体" w:eastAsia="宋体" w:cs="Times New Roman"/>
                <w:caps/>
                <w:color w:val="000000" w:themeColor="text1"/>
                <w:szCs w:val="21"/>
                <w14:textFill>
                  <w14:solidFill>
                    <w14:schemeClr w14:val="tx1"/>
                  </w14:solidFill>
                </w14:textFill>
              </w:rPr>
              <w:t>mRNA疫苗质量控制整体解决方案</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安捷伦科技（中国）有限公司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428" w:type="dxa"/>
            <w:tcBorders>
              <w:top w:val="single" w:color="auto" w:sz="4" w:space="0"/>
              <w:left w:val="double" w:color="000000" w:themeColor="text1" w:sz="4" w:space="0"/>
              <w:bottom w:val="single" w:color="auto" w:sz="4" w:space="0"/>
              <w:right w:val="single" w:color="000000" w:themeColor="text1" w:sz="4" w:space="0"/>
            </w:tcBorders>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r>
              <w:rPr>
                <w:rFonts w:cs="Times New Roman" w:asciiTheme="minorEastAsia" w:hAnsiTheme="minorEastAsia"/>
                <w:caps/>
                <w:kern w:val="0"/>
                <w:szCs w:val="21"/>
              </w:rPr>
              <w:t>-16</w:t>
            </w:r>
            <w:r>
              <w:rPr>
                <w:rFonts w:hint="eastAsia" w:cs="Times New Roman" w:asciiTheme="minorEastAsia" w:hAnsiTheme="minorEastAsia"/>
                <w:caps/>
                <w:kern w:val="0"/>
                <w:szCs w:val="21"/>
              </w:rPr>
              <w:t>:</w:t>
            </w:r>
            <w:r>
              <w:rPr>
                <w:rFonts w:cs="Times New Roman" w:asciiTheme="minorEastAsia" w:hAnsiTheme="minorEastAsia"/>
                <w:caps/>
                <w:kern w:val="0"/>
                <w:szCs w:val="21"/>
              </w:rPr>
              <w:t>5</w:t>
            </w:r>
            <w:r>
              <w:rPr>
                <w:rFonts w:hint="eastAsia" w:cs="Times New Roman" w:asciiTheme="minorEastAsia" w:hAnsiTheme="minorEastAsia"/>
                <w:caps/>
                <w:kern w:val="0"/>
                <w:szCs w:val="21"/>
              </w:rPr>
              <w:t>0</w:t>
            </w:r>
          </w:p>
        </w:tc>
        <w:tc>
          <w:tcPr>
            <w:tcW w:w="994" w:type="dxa"/>
            <w:tcBorders>
              <w:top w:val="single" w:color="auto" w:sz="4" w:space="0"/>
              <w:left w:val="single" w:color="000000" w:themeColor="text1"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张  立</w:t>
            </w:r>
          </w:p>
        </w:tc>
        <w:tc>
          <w:tcPr>
            <w:tcW w:w="4657"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互联网实验室是什么体验</w:t>
            </w:r>
          </w:p>
        </w:tc>
        <w:tc>
          <w:tcPr>
            <w:tcW w:w="3706" w:type="dxa"/>
            <w:gridSpan w:val="2"/>
            <w:tcBorders>
              <w:top w:val="single" w:color="auto" w:sz="4" w:space="0"/>
              <w:left w:val="single" w:color="auto" w:sz="4" w:space="0"/>
              <w:bottom w:val="single" w:color="auto" w:sz="4" w:space="0"/>
              <w:right w:val="double" w:color="000000" w:themeColor="text1"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沃特世科技（上海）有限公司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trPr>
        <w:tc>
          <w:tcPr>
            <w:tcW w:w="10785" w:type="dxa"/>
            <w:gridSpan w:val="5"/>
            <w:tcBorders>
              <w:top w:val="single" w:color="auto" w:sz="4" w:space="0"/>
              <w:left w:val="double" w:color="000000" w:themeColor="text1" w:sz="4" w:space="0"/>
              <w:bottom w:val="single" w:color="auto" w:sz="4" w:space="0"/>
              <w:right w:val="double" w:color="000000" w:sz="6" w:space="0"/>
            </w:tcBorders>
            <w:vAlign w:val="center"/>
          </w:tcPr>
          <w:p>
            <w:pPr>
              <w:pStyle w:val="3"/>
              <w:adjustRightInd w:val="0"/>
              <w:snapToGrid w:val="0"/>
              <w:jc w:val="center"/>
              <w:rPr>
                <w:rFonts w:eastAsia="华文中宋"/>
                <w:color w:val="000000"/>
                <w:sz w:val="24"/>
                <w:szCs w:val="24"/>
              </w:rPr>
            </w:pPr>
            <w:r>
              <w:rPr>
                <w:rFonts w:hint="eastAsia" w:eastAsia="华文中宋"/>
                <w:color w:val="000000"/>
                <w:sz w:val="24"/>
                <w:szCs w:val="24"/>
              </w:rPr>
              <w:t>第一</w:t>
            </w:r>
            <w:r>
              <w:rPr>
                <w:rFonts w:eastAsia="华文中宋"/>
                <w:color w:val="000000"/>
                <w:sz w:val="24"/>
                <w:szCs w:val="24"/>
              </w:rPr>
              <w:t>分会场报告</w:t>
            </w:r>
            <w:r>
              <w:rPr>
                <w:rFonts w:hint="eastAsia" w:eastAsia="华文中宋"/>
                <w:color w:val="000000"/>
                <w:sz w:val="24"/>
                <w:szCs w:val="24"/>
              </w:rPr>
              <w:t>（管理类）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trPr>
        <w:tc>
          <w:tcPr>
            <w:tcW w:w="10785" w:type="dxa"/>
            <w:gridSpan w:val="5"/>
            <w:tcBorders>
              <w:top w:val="single" w:color="auto" w:sz="4" w:space="0"/>
              <w:left w:val="double" w:color="000000" w:sz="6" w:space="0"/>
              <w:bottom w:val="single" w:color="auto" w:sz="4" w:space="0"/>
              <w:right w:val="double" w:color="000000" w:sz="6" w:space="0"/>
            </w:tcBorders>
            <w:vAlign w:val="center"/>
          </w:tcPr>
          <w:p>
            <w:pPr>
              <w:pStyle w:val="3"/>
              <w:adjustRightInd w:val="0"/>
              <w:snapToGrid w:val="0"/>
              <w:rPr>
                <w:rFonts w:hAnsi="宋体"/>
                <w:sz w:val="21"/>
                <w:szCs w:val="21"/>
              </w:rPr>
            </w:pPr>
            <w:r>
              <w:rPr>
                <w:rFonts w:hAnsi="宋体"/>
                <w:sz w:val="21"/>
                <w:szCs w:val="21"/>
              </w:rPr>
              <w:t>时  间：</w:t>
            </w:r>
            <w:r>
              <w:rPr>
                <w:rFonts w:hint="eastAsia" w:hAnsi="宋体"/>
                <w:sz w:val="21"/>
                <w:szCs w:val="21"/>
              </w:rPr>
              <w:t>202</w:t>
            </w:r>
            <w:r>
              <w:rPr>
                <w:rFonts w:hAnsi="宋体"/>
                <w:sz w:val="21"/>
                <w:szCs w:val="21"/>
              </w:rPr>
              <w:t>2</w:t>
            </w:r>
            <w:r>
              <w:rPr>
                <w:rFonts w:hint="eastAsia" w:hAnsi="宋体"/>
                <w:sz w:val="21"/>
                <w:szCs w:val="21"/>
              </w:rPr>
              <w:t>年9月8日</w:t>
            </w:r>
            <w:r>
              <w:rPr>
                <w:rFonts w:hAnsi="宋体"/>
                <w:sz w:val="21"/>
                <w:szCs w:val="21"/>
              </w:rPr>
              <w:t xml:space="preserve">  9:00-12:15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trPr>
        <w:tc>
          <w:tcPr>
            <w:tcW w:w="10785" w:type="dxa"/>
            <w:gridSpan w:val="5"/>
            <w:tcBorders>
              <w:top w:val="single" w:color="auto" w:sz="4" w:space="0"/>
              <w:left w:val="double" w:color="000000" w:sz="6" w:space="0"/>
              <w:bottom w:val="single" w:color="auto" w:sz="4" w:space="0"/>
              <w:right w:val="double" w:color="auto" w:sz="4" w:space="0"/>
            </w:tcBorders>
            <w:vAlign w:val="center"/>
          </w:tcPr>
          <w:p>
            <w:pPr>
              <w:pStyle w:val="3"/>
              <w:adjustRightInd w:val="0"/>
              <w:snapToGrid w:val="0"/>
              <w:rPr>
                <w:rFonts w:hAnsi="宋体"/>
                <w:sz w:val="21"/>
                <w:szCs w:val="21"/>
              </w:rPr>
            </w:pPr>
            <w:r>
              <w:rPr>
                <w:rFonts w:hint="eastAsia" w:hAnsi="宋体"/>
                <w:sz w:val="21"/>
                <w:szCs w:val="21"/>
              </w:rPr>
              <w:t>形  式</w:t>
            </w:r>
            <w:r>
              <w:rPr>
                <w:rFonts w:hAnsi="宋体"/>
                <w:sz w:val="21"/>
                <w:szCs w:val="21"/>
              </w:rPr>
              <w:t>：</w:t>
            </w:r>
            <w:r>
              <w:rPr>
                <w:rFonts w:hint="eastAsia" w:hAnsi="宋体"/>
                <w:sz w:val="21"/>
                <w:szCs w:val="21"/>
              </w:rPr>
              <w:t>线上</w:t>
            </w:r>
            <w:r>
              <w:rPr>
                <w:rFonts w:hAnsi="宋体"/>
                <w:sz w:val="21"/>
                <w:szCs w:val="21"/>
              </w:rPr>
              <w:t>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rPr>
        <w:tc>
          <w:tcPr>
            <w:tcW w:w="1428" w:type="dxa"/>
            <w:tcBorders>
              <w:top w:val="single" w:color="auto" w:sz="4" w:space="0"/>
              <w:left w:val="doub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时  间</w:t>
            </w:r>
          </w:p>
        </w:tc>
        <w:tc>
          <w:tcPr>
            <w:tcW w:w="994" w:type="dxa"/>
            <w:tcBorders>
              <w:top w:val="single" w:color="auto" w:sz="4" w:space="0"/>
              <w:left w:val="single" w:color="auto" w:sz="4" w:space="0"/>
              <w:bottom w:val="sing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报告人</w:t>
            </w:r>
          </w:p>
        </w:tc>
        <w:tc>
          <w:tcPr>
            <w:tcW w:w="4677" w:type="dxa"/>
            <w:gridSpan w:val="2"/>
            <w:tcBorders>
              <w:top w:val="single" w:color="auto" w:sz="4" w:space="0"/>
              <w:left w:val="single" w:color="auto" w:sz="4" w:space="0"/>
              <w:bottom w:val="sing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报告题目</w:t>
            </w:r>
          </w:p>
        </w:tc>
        <w:tc>
          <w:tcPr>
            <w:tcW w:w="3686" w:type="dxa"/>
            <w:tcBorders>
              <w:top w:val="single" w:color="auto" w:sz="4" w:space="0"/>
              <w:left w:val="single" w:color="auto" w:sz="4" w:space="0"/>
              <w:right w:val="doub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单  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0</w:t>
            </w:r>
            <w:r>
              <w:rPr>
                <w:rFonts w:hint="eastAsia" w:cs="Times New Roman" w:asciiTheme="minorEastAsia" w:hAnsiTheme="minorEastAsia"/>
                <w:caps/>
                <w:kern w:val="0"/>
                <w:szCs w:val="21"/>
              </w:rPr>
              <w:t>9:00-</w:t>
            </w:r>
            <w:r>
              <w:rPr>
                <w:rFonts w:cs="Times New Roman" w:asciiTheme="minorEastAsia" w:hAnsiTheme="minorEastAsia"/>
                <w:caps/>
                <w:kern w:val="0"/>
                <w:szCs w:val="21"/>
              </w:rPr>
              <w:t>09</w:t>
            </w:r>
            <w:r>
              <w:rPr>
                <w:rFonts w:hint="eastAsia" w:cs="Times New Roman" w:asciiTheme="minorEastAsia" w:hAnsiTheme="minorEastAsia"/>
                <w:caps/>
                <w:kern w:val="0"/>
                <w:szCs w:val="21"/>
              </w:rPr>
              <w:t>:15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段  丽</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方法满足预期用途的评估指标和标准探讨</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中国食品药品检定研究院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0</w:t>
            </w:r>
            <w:r>
              <w:rPr>
                <w:rFonts w:hint="eastAsia" w:cs="Times New Roman" w:asciiTheme="minorEastAsia" w:hAnsiTheme="minorEastAsia"/>
                <w:caps/>
                <w:kern w:val="0"/>
                <w:szCs w:val="21"/>
              </w:rPr>
              <w:t>9:15-</w:t>
            </w:r>
            <w:r>
              <w:rPr>
                <w:rFonts w:cs="Times New Roman" w:asciiTheme="minorEastAsia" w:hAnsiTheme="minorEastAsia"/>
                <w:caps/>
                <w:kern w:val="0"/>
                <w:szCs w:val="21"/>
              </w:rPr>
              <w:t>09</w:t>
            </w:r>
            <w:r>
              <w:rPr>
                <w:rFonts w:hint="eastAsia" w:cs="Times New Roman" w:asciiTheme="minorEastAsia" w:hAnsiTheme="minorEastAsia"/>
                <w:caps/>
                <w:kern w:val="0"/>
                <w:szCs w:val="21"/>
              </w:rPr>
              <w:t>:30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 xml:space="preserve">施  捷 </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生物制品批签发绩效评估SOP的建立与实践</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北京市药品检验研究院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09:30-09:45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周  霞</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兽药残留检测及风险评估的研究进展</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浙江省食品药品检验研究院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09:45-10:00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贾瑞波</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药品检验机构OOS结果调查实践与探讨</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大连市检验检测认证技术服务中心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10:00-10:15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赵艳霞</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药品质量风险监测工作机制建设态势分析</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山东省食品药品检验研究院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10:15-10:30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王  洪</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2013-2021实验动物行业能力验证计划实施情况分析报告</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中国食品药品检定研究院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w:t>
            </w:r>
            <w:r>
              <w:rPr>
                <w:rFonts w:cs="Times New Roman" w:asciiTheme="minorEastAsia" w:hAnsiTheme="minorEastAsia"/>
                <w:caps/>
                <w:kern w:val="0"/>
                <w:szCs w:val="21"/>
              </w:rPr>
              <w:t>3</w:t>
            </w:r>
            <w:r>
              <w:rPr>
                <w:rFonts w:hint="eastAsia" w:cs="Times New Roman" w:asciiTheme="minorEastAsia" w:hAnsiTheme="minorEastAsia"/>
                <w:caps/>
                <w:kern w:val="0"/>
                <w:szCs w:val="21"/>
              </w:rPr>
              <w:t>0-10:</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赵旭伟</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浅谈集团化质量管理体系建立的思考</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扬子江药业集团有限公司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10:</w:t>
            </w:r>
            <w:r>
              <w:rPr>
                <w:rFonts w:cs="Times New Roman" w:asciiTheme="minorEastAsia" w:hAnsiTheme="minorEastAsia"/>
                <w:caps/>
                <w:kern w:val="0"/>
                <w:szCs w:val="21"/>
              </w:rPr>
              <w:t>4</w:t>
            </w:r>
            <w:r>
              <w:rPr>
                <w:rFonts w:hint="eastAsia" w:cs="Times New Roman" w:asciiTheme="minorEastAsia" w:hAnsiTheme="minorEastAsia"/>
                <w:caps/>
                <w:kern w:val="0"/>
                <w:szCs w:val="21"/>
              </w:rPr>
              <w:t>5-11:</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赵  文</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三五期间化学药品领域能力验证回顾性研究</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中国食品药品检定研究院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11:</w:t>
            </w:r>
            <w:r>
              <w:rPr>
                <w:rFonts w:cs="Times New Roman" w:asciiTheme="minorEastAsia" w:hAnsiTheme="minorEastAsia"/>
                <w:caps/>
                <w:kern w:val="0"/>
                <w:szCs w:val="21"/>
              </w:rPr>
              <w:t>0</w:t>
            </w:r>
            <w:r>
              <w:rPr>
                <w:rFonts w:hint="eastAsia" w:cs="Times New Roman" w:asciiTheme="minorEastAsia" w:hAnsiTheme="minorEastAsia"/>
                <w:caps/>
                <w:kern w:val="0"/>
                <w:szCs w:val="21"/>
              </w:rPr>
              <w:t>0-11:</w:t>
            </w:r>
            <w:r>
              <w:rPr>
                <w:rFonts w:cs="Times New Roman" w:asciiTheme="minorEastAsia" w:hAnsiTheme="minorEastAsia"/>
                <w:caps/>
                <w:kern w:val="0"/>
                <w:szCs w:val="21"/>
              </w:rPr>
              <w:t>1</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陶晟衎</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江苏省院智慧检验信息管理系统项目实施经验及远景规划浅谈</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江苏省食品药品监督检验研究院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11:</w:t>
            </w:r>
            <w:r>
              <w:rPr>
                <w:rFonts w:cs="Times New Roman" w:asciiTheme="minorEastAsia" w:hAnsiTheme="minorEastAsia"/>
                <w:caps/>
                <w:kern w:val="0"/>
                <w:szCs w:val="21"/>
              </w:rPr>
              <w:t>1</w:t>
            </w:r>
            <w:r>
              <w:rPr>
                <w:rFonts w:hint="eastAsia" w:cs="Times New Roman" w:asciiTheme="minorEastAsia" w:hAnsiTheme="minorEastAsia"/>
                <w:caps/>
                <w:kern w:val="0"/>
                <w:szCs w:val="21"/>
              </w:rPr>
              <w:t>5-11:</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 xml:space="preserve">丁文静  </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浅析疫苗类批签发检验流程中的风险点控制</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上海市食品药品检验研究院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11:</w:t>
            </w:r>
            <w:r>
              <w:rPr>
                <w:rFonts w:cs="Times New Roman" w:asciiTheme="minorEastAsia" w:hAnsiTheme="minorEastAsia"/>
                <w:caps/>
                <w:kern w:val="0"/>
                <w:szCs w:val="21"/>
              </w:rPr>
              <w:t>3</w:t>
            </w:r>
            <w:r>
              <w:rPr>
                <w:rFonts w:hint="eastAsia" w:cs="Times New Roman" w:asciiTheme="minorEastAsia" w:hAnsiTheme="minorEastAsia"/>
                <w:caps/>
                <w:kern w:val="0"/>
                <w:szCs w:val="21"/>
              </w:rPr>
              <w:t>0-11:</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王淑红</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药品检验机构实验室质量管理实践之—中药异常检验结果调查（TCM OOS调查）</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深圳市药品检验研究院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11:</w:t>
            </w:r>
            <w:r>
              <w:rPr>
                <w:rFonts w:cs="Times New Roman" w:asciiTheme="minorEastAsia" w:hAnsiTheme="minorEastAsia"/>
                <w:caps/>
                <w:kern w:val="0"/>
                <w:szCs w:val="21"/>
              </w:rPr>
              <w:t>4</w:t>
            </w:r>
            <w:r>
              <w:rPr>
                <w:rFonts w:hint="eastAsia" w:cs="Times New Roman" w:asciiTheme="minorEastAsia" w:hAnsiTheme="minorEastAsia"/>
                <w:caps/>
                <w:kern w:val="0"/>
                <w:szCs w:val="21"/>
              </w:rPr>
              <w:t>5-12:</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陈  佳</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药品实验室变更管理多维度评估研究</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泰州市药品检验院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12:</w:t>
            </w:r>
            <w:r>
              <w:rPr>
                <w:rFonts w:cs="Times New Roman" w:asciiTheme="minorEastAsia" w:hAnsiTheme="minorEastAsia"/>
                <w:caps/>
                <w:kern w:val="0"/>
                <w:szCs w:val="21"/>
              </w:rPr>
              <w:t>0</w:t>
            </w:r>
            <w:r>
              <w:rPr>
                <w:rFonts w:hint="eastAsia" w:cs="Times New Roman" w:asciiTheme="minorEastAsia" w:hAnsiTheme="minorEastAsia"/>
                <w:caps/>
                <w:kern w:val="0"/>
                <w:szCs w:val="21"/>
              </w:rPr>
              <w:t>0-12:</w:t>
            </w:r>
            <w:r>
              <w:rPr>
                <w:rFonts w:cs="Times New Roman" w:asciiTheme="minorEastAsia" w:hAnsiTheme="minorEastAsia"/>
                <w:caps/>
                <w:kern w:val="0"/>
                <w:szCs w:val="21"/>
              </w:rPr>
              <w:t>1</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ascii="宋体" w:hAnsi="宋体" w:eastAsia="宋体"/>
              </w:rPr>
              <w:t>张芳芳</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line="288" w:lineRule="auto"/>
            </w:pPr>
            <w:r>
              <w:t>5S管理工具在P检测实验室质量管理中的应用</w:t>
            </w:r>
          </w:p>
        </w:tc>
        <w:tc>
          <w:tcPr>
            <w:tcW w:w="3686" w:type="dxa"/>
            <w:tcBorders>
              <w:top w:val="single" w:color="auto" w:sz="4" w:space="0"/>
              <w:left w:val="single" w:color="auto" w:sz="4" w:space="0"/>
              <w:right w:val="double" w:color="auto" w:sz="4" w:space="0"/>
            </w:tcBorders>
          </w:tcPr>
          <w:p>
            <w:pPr>
              <w:snapToGrid w:val="0"/>
              <w:spacing w:before="159" w:beforeLines="50"/>
            </w:pPr>
            <w:r>
              <w:t>上海市食品药品包装材料测试所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trPr>
        <w:tc>
          <w:tcPr>
            <w:tcW w:w="10785" w:type="dxa"/>
            <w:gridSpan w:val="5"/>
            <w:tcBorders>
              <w:top w:val="single" w:color="auto" w:sz="4" w:space="0"/>
              <w:left w:val="double" w:color="000000" w:sz="6" w:space="0"/>
              <w:right w:val="double" w:color="auto" w:sz="4" w:space="0"/>
            </w:tcBorders>
            <w:vAlign w:val="center"/>
          </w:tcPr>
          <w:p>
            <w:pPr>
              <w:pStyle w:val="3"/>
              <w:adjustRightInd w:val="0"/>
              <w:snapToGrid w:val="0"/>
              <w:jc w:val="center"/>
              <w:rPr>
                <w:rFonts w:asciiTheme="minorEastAsia" w:hAnsiTheme="minorEastAsia" w:eastAsiaTheme="minorEastAsia"/>
                <w:sz w:val="24"/>
                <w:szCs w:val="24"/>
              </w:rPr>
            </w:pPr>
            <w:r>
              <w:rPr>
                <w:rFonts w:hint="eastAsia" w:eastAsia="华文中宋"/>
                <w:color w:val="000000"/>
                <w:sz w:val="24"/>
                <w:szCs w:val="24"/>
              </w:rPr>
              <w:t>第二</w:t>
            </w:r>
            <w:r>
              <w:rPr>
                <w:rFonts w:eastAsia="华文中宋"/>
                <w:color w:val="000000"/>
                <w:sz w:val="24"/>
                <w:szCs w:val="24"/>
              </w:rPr>
              <w:t>分会场报告</w:t>
            </w:r>
            <w:r>
              <w:rPr>
                <w:rFonts w:hint="eastAsia" w:eastAsia="华文中宋"/>
                <w:color w:val="000000"/>
                <w:sz w:val="24"/>
                <w:szCs w:val="24"/>
              </w:rPr>
              <w:t>（技术类）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0785" w:type="dxa"/>
            <w:gridSpan w:val="5"/>
            <w:tcBorders>
              <w:top w:val="single" w:color="auto" w:sz="4" w:space="0"/>
              <w:left w:val="double" w:color="000000" w:sz="6" w:space="0"/>
              <w:right w:val="double" w:color="auto" w:sz="4" w:space="0"/>
            </w:tcBorders>
            <w:vAlign w:val="center"/>
          </w:tcPr>
          <w:p>
            <w:pPr>
              <w:pStyle w:val="3"/>
              <w:adjustRightInd w:val="0"/>
              <w:snapToGrid w:val="0"/>
              <w:rPr>
                <w:rFonts w:hAnsi="宋体"/>
                <w:sz w:val="21"/>
                <w:szCs w:val="21"/>
              </w:rPr>
            </w:pPr>
            <w:r>
              <w:rPr>
                <w:rFonts w:hAnsi="宋体"/>
                <w:sz w:val="21"/>
                <w:szCs w:val="21"/>
              </w:rPr>
              <w:t>时  间：</w:t>
            </w:r>
            <w:r>
              <w:rPr>
                <w:rFonts w:hint="eastAsia" w:hAnsi="宋体"/>
                <w:sz w:val="21"/>
                <w:szCs w:val="21"/>
              </w:rPr>
              <w:t>202</w:t>
            </w:r>
            <w:r>
              <w:rPr>
                <w:rFonts w:hAnsi="宋体"/>
                <w:sz w:val="21"/>
                <w:szCs w:val="21"/>
              </w:rPr>
              <w:t>2</w:t>
            </w:r>
            <w:r>
              <w:rPr>
                <w:rFonts w:hint="eastAsia" w:hAnsi="宋体"/>
                <w:sz w:val="21"/>
                <w:szCs w:val="21"/>
              </w:rPr>
              <w:t>年9月8日</w:t>
            </w:r>
            <w:r>
              <w:rPr>
                <w:rFonts w:hAnsi="宋体"/>
                <w:sz w:val="21"/>
                <w:szCs w:val="21"/>
              </w:rPr>
              <w:t xml:space="preserve">  13:30-16:45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0785" w:type="dxa"/>
            <w:gridSpan w:val="5"/>
            <w:tcBorders>
              <w:top w:val="single" w:color="auto" w:sz="4" w:space="0"/>
              <w:left w:val="double" w:color="000000" w:sz="6" w:space="0"/>
              <w:right w:val="double" w:color="auto" w:sz="4" w:space="0"/>
            </w:tcBorders>
            <w:vAlign w:val="center"/>
          </w:tcPr>
          <w:p>
            <w:pPr>
              <w:pStyle w:val="3"/>
              <w:adjustRightInd w:val="0"/>
              <w:snapToGrid w:val="0"/>
              <w:rPr>
                <w:rFonts w:hAnsi="宋体"/>
                <w:sz w:val="21"/>
                <w:szCs w:val="21"/>
              </w:rPr>
            </w:pPr>
            <w:r>
              <w:rPr>
                <w:rFonts w:hint="eastAsia" w:hAnsi="宋体"/>
                <w:sz w:val="21"/>
                <w:szCs w:val="21"/>
              </w:rPr>
              <w:t>形  式</w:t>
            </w:r>
            <w:r>
              <w:rPr>
                <w:rFonts w:hAnsi="宋体"/>
                <w:sz w:val="21"/>
                <w:szCs w:val="21"/>
              </w:rPr>
              <w:t>：</w:t>
            </w:r>
            <w:r>
              <w:rPr>
                <w:rFonts w:hint="eastAsia" w:hAnsi="宋体"/>
                <w:sz w:val="21"/>
                <w:szCs w:val="21"/>
              </w:rPr>
              <w:t>线上</w:t>
            </w:r>
            <w:r>
              <w:rPr>
                <w:rFonts w:hAnsi="宋体"/>
                <w:sz w:val="21"/>
                <w:szCs w:val="21"/>
              </w:rPr>
              <w:t>直播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时  间</w:t>
            </w:r>
          </w:p>
        </w:tc>
        <w:tc>
          <w:tcPr>
            <w:tcW w:w="994" w:type="dxa"/>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报告人</w:t>
            </w:r>
          </w:p>
        </w:tc>
        <w:tc>
          <w:tcPr>
            <w:tcW w:w="4677" w:type="dxa"/>
            <w:gridSpan w:val="2"/>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报告题目</w:t>
            </w:r>
          </w:p>
        </w:tc>
        <w:tc>
          <w:tcPr>
            <w:tcW w:w="3686" w:type="dxa"/>
            <w:tcBorders>
              <w:top w:val="single" w:color="auto" w:sz="4" w:space="0"/>
              <w:left w:val="single" w:color="auto" w:sz="4" w:space="0"/>
              <w:right w:val="double" w:color="auto" w:sz="4" w:space="0"/>
            </w:tcBorders>
            <w:vAlign w:val="center"/>
          </w:tcPr>
          <w:p>
            <w:pPr>
              <w:pStyle w:val="3"/>
              <w:adjustRightInd w:val="0"/>
              <w:snapToGrid w:val="0"/>
              <w:jc w:val="center"/>
              <w:rPr>
                <w:rFonts w:eastAsia="华文中宋" w:asciiTheme="minorHAnsi" w:hAnsiTheme="minorHAnsi"/>
                <w:sz w:val="24"/>
                <w:szCs w:val="24"/>
              </w:rPr>
            </w:pPr>
            <w:r>
              <w:rPr>
                <w:rFonts w:hint="eastAsia" w:eastAsia="华文中宋" w:asciiTheme="minorHAnsi" w:hAnsiTheme="minorHAnsi"/>
                <w:sz w:val="24"/>
                <w:szCs w:val="24"/>
              </w:rPr>
              <w:t>单  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13</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r>
              <w:rPr>
                <w:rFonts w:cs="Times New Roman" w:asciiTheme="minorEastAsia" w:hAnsiTheme="minorEastAsia"/>
                <w:caps/>
                <w:kern w:val="0"/>
                <w:szCs w:val="21"/>
              </w:rPr>
              <w:t>13</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谭  力</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超高效液相色谱串联质谱法同时测定硫酸庆大霉素中的八种生物胺</w:t>
            </w:r>
          </w:p>
        </w:tc>
        <w:tc>
          <w:tcPr>
            <w:tcW w:w="3686" w:type="dxa"/>
            <w:tcBorders>
              <w:top w:val="single" w:color="auto" w:sz="4" w:space="0"/>
              <w:left w:val="single" w:color="auto" w:sz="4" w:space="0"/>
              <w:right w:val="double" w:color="auto" w:sz="4" w:space="0"/>
            </w:tcBorders>
          </w:tcPr>
          <w:p>
            <w:pPr>
              <w:jc w:val="left"/>
            </w:pPr>
            <w:r>
              <w:rPr>
                <w:rFonts w:hint="eastAsia"/>
              </w:rPr>
              <w:t>江苏省食品药品监督检验研究院，   中国药科大学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13</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r>
              <w:rPr>
                <w:rFonts w:cs="Times New Roman" w:asciiTheme="minorEastAsia" w:hAnsiTheme="minorEastAsia"/>
                <w:caps/>
                <w:kern w:val="0"/>
                <w:szCs w:val="21"/>
              </w:rPr>
              <w:t>14</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信长颖</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基于生物药剂学分类系统（BCS）的局部给药分类系统（TCS）的介绍</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黑龙江省药品检验研究院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cs="Times New Roman" w:asciiTheme="minorEastAsia" w:hAnsiTheme="minorEastAsia"/>
                <w:caps/>
                <w:kern w:val="0"/>
                <w:szCs w:val="21"/>
              </w:rPr>
              <w:t>14</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r>
              <w:rPr>
                <w:rFonts w:cs="Times New Roman" w:asciiTheme="minorEastAsia" w:hAnsiTheme="minorEastAsia"/>
                <w:caps/>
                <w:kern w:val="0"/>
                <w:szCs w:val="21"/>
              </w:rPr>
              <w:t>14</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rPr>
                <w:rFonts w:hAnsi="宋体" w:cs="Times New Roman"/>
                <w:caps/>
                <w:sz w:val="21"/>
                <w:szCs w:val="21"/>
              </w:rPr>
            </w:pPr>
            <w:r>
              <w:rPr>
                <w:rFonts w:hint="eastAsia" w:hAnsi="宋体" w:cs="Times New Roman"/>
                <w:caps/>
                <w:sz w:val="21"/>
                <w:szCs w:val="21"/>
              </w:rPr>
              <w:t>蔡志威</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扫描电子显微镜-能谱仪在吸入式干粉制剂表征中的应用进展</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浙江省食品药品检验研究院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14:</w:t>
            </w:r>
            <w:r>
              <w:rPr>
                <w:rFonts w:cs="Times New Roman" w:asciiTheme="minorEastAsia" w:hAnsiTheme="minorEastAsia"/>
                <w:caps/>
                <w:kern w:val="0"/>
                <w:szCs w:val="21"/>
              </w:rPr>
              <w:t>1</w:t>
            </w:r>
            <w:r>
              <w:rPr>
                <w:rFonts w:hint="eastAsia" w:cs="Times New Roman" w:asciiTheme="minorEastAsia" w:hAnsiTheme="minorEastAsia"/>
                <w:caps/>
                <w:kern w:val="0"/>
                <w:szCs w:val="21"/>
              </w:rPr>
              <w:t>5-1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rPr>
                <w:rFonts w:hAnsi="宋体" w:cs="Times New Roman"/>
                <w:caps/>
                <w:sz w:val="21"/>
                <w:szCs w:val="21"/>
              </w:rPr>
            </w:pPr>
            <w:r>
              <w:rPr>
                <w:rFonts w:hint="eastAsia" w:hAnsi="宋体" w:cs="Times New Roman"/>
                <w:caps/>
                <w:sz w:val="21"/>
                <w:szCs w:val="21"/>
              </w:rPr>
              <w:t>焦旭雯</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外用人粒细胞巨噬细胞刺激因子凝胶生物学活性测定</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广东省药品检验所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14:</w:t>
            </w:r>
            <w:r>
              <w:rPr>
                <w:rFonts w:cs="Times New Roman" w:asciiTheme="minorEastAsia" w:hAnsiTheme="minorEastAsia"/>
                <w:caps/>
                <w:kern w:val="0"/>
                <w:szCs w:val="21"/>
              </w:rPr>
              <w:t>3</w:t>
            </w:r>
            <w:r>
              <w:rPr>
                <w:rFonts w:hint="eastAsia" w:cs="Times New Roman" w:asciiTheme="minorEastAsia" w:hAnsiTheme="minorEastAsia"/>
                <w:caps/>
                <w:kern w:val="0"/>
                <w:szCs w:val="21"/>
              </w:rPr>
              <w:t>0-1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spacing w:before="159" w:beforeLines="50"/>
              <w:rPr>
                <w:rFonts w:hAnsi="宋体" w:cs="Times New Roman"/>
                <w:caps/>
                <w:sz w:val="21"/>
                <w:szCs w:val="21"/>
              </w:rPr>
            </w:pPr>
            <w:r>
              <w:rPr>
                <w:rFonts w:hint="eastAsia" w:hAnsi="宋体" w:cs="Times New Roman"/>
                <w:caps/>
                <w:sz w:val="21"/>
                <w:szCs w:val="21"/>
              </w:rPr>
              <w:t>李丹凤</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自上而下不确定度评定人血白蛋白中铝残留量</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广西壮族自治区食品药品检验所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4</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vAlign w:val="center"/>
          </w:tcPr>
          <w:p>
            <w:pPr>
              <w:pStyle w:val="3"/>
              <w:adjustRightInd w:val="0"/>
              <w:snapToGrid w:val="0"/>
              <w:rPr>
                <w:rFonts w:hAnsi="宋体" w:cs="Times New Roman"/>
                <w:caps/>
                <w:sz w:val="21"/>
                <w:szCs w:val="21"/>
              </w:rPr>
            </w:pPr>
            <w:r>
              <w:rPr>
                <w:rFonts w:hint="eastAsia" w:hAnsi="宋体" w:cs="Times New Roman"/>
                <w:caps/>
                <w:sz w:val="21"/>
                <w:szCs w:val="21"/>
              </w:rPr>
              <w:t>吴  斌</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卡马西平片桨法与流池法体内外相关性方法的建立及溶出曲线比较研究</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北京市药品检验研究院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 xml:space="preserve">林燕翔 </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基于双标线性校正法辅助定位的复方丹参片指纹图谱研究</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广西壮族自治区食品药品检验所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5-1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朱欢敏</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岭南地区6种常用中药饮片微生物污染状况分析</w:t>
            </w:r>
          </w:p>
        </w:tc>
        <w:tc>
          <w:tcPr>
            <w:tcW w:w="3686" w:type="dxa"/>
            <w:tcBorders>
              <w:top w:val="single" w:color="auto" w:sz="4" w:space="0"/>
              <w:left w:val="single" w:color="auto" w:sz="4" w:space="0"/>
              <w:right w:val="double" w:color="auto" w:sz="4" w:space="0"/>
            </w:tcBorders>
          </w:tcPr>
          <w:p>
            <w:pPr>
              <w:snapToGrid w:val="0"/>
              <w:spacing w:before="159" w:beforeLines="50"/>
              <w:rPr>
                <w:rFonts w:ascii="宋体" w:hAnsi="宋体" w:eastAsia="宋体"/>
              </w:rPr>
            </w:pPr>
            <w:r>
              <w:rPr>
                <w:rFonts w:hint="eastAsia" w:ascii="宋体" w:hAnsi="宋体" w:eastAsia="宋体"/>
              </w:rPr>
              <w:t>广东省药品检验所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楼永军</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rPr>
            </w:pPr>
            <w:r>
              <w:rPr>
                <w:rFonts w:hint="eastAsia" w:ascii="宋体" w:hAnsi="宋体" w:eastAsia="宋体"/>
              </w:rPr>
              <w:t>替米沙坦多晶型X-射线粉末衍射定量分析</w:t>
            </w:r>
          </w:p>
        </w:tc>
        <w:tc>
          <w:tcPr>
            <w:tcW w:w="3686" w:type="dxa"/>
            <w:tcBorders>
              <w:top w:val="single" w:color="auto" w:sz="4" w:space="0"/>
              <w:left w:val="single" w:color="auto" w:sz="4" w:space="0"/>
              <w:right w:val="double" w:color="auto" w:sz="4" w:space="0"/>
            </w:tcBorders>
          </w:tcPr>
          <w:p>
            <w:pPr>
              <w:snapToGrid w:val="0"/>
              <w:spacing w:before="159" w:beforeLines="50"/>
              <w:rPr>
                <w:rFonts w:ascii="宋体" w:hAnsi="宋体" w:eastAsia="宋体"/>
              </w:rPr>
            </w:pPr>
            <w:r>
              <w:rPr>
                <w:rFonts w:hint="eastAsia" w:ascii="宋体" w:hAnsi="宋体" w:eastAsia="宋体"/>
              </w:rPr>
              <w:t>浙江工业大学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5</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吴思霖</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化妆品中12种染发剂的高效液相色谱法测定及质谱验证</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上海市食品药品检验研究院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0</w:t>
            </w:r>
            <w:r>
              <w:rPr>
                <w:rFonts w:hint="eastAsia" w:cs="Times New Roman" w:asciiTheme="minorEastAsia" w:hAnsiTheme="minorEastAsia"/>
                <w:caps/>
                <w:kern w:val="0"/>
                <w:szCs w:val="21"/>
              </w:rPr>
              <w:t>0-1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single" w:color="000000" w:sz="6" w:space="0"/>
              <w:right w:val="single" w:color="auto" w:sz="4" w:space="0"/>
            </w:tcBorders>
          </w:tcPr>
          <w:p>
            <w:pPr>
              <w:rPr>
                <w:rFonts w:ascii="宋体" w:hAnsi="宋体" w:eastAsia="宋体"/>
                <w:szCs w:val="21"/>
              </w:rPr>
            </w:pPr>
          </w:p>
          <w:p>
            <w:pPr>
              <w:rPr>
                <w:rFonts w:ascii="宋体" w:hAnsi="宋体" w:eastAsia="宋体"/>
                <w:szCs w:val="21"/>
              </w:rPr>
            </w:pPr>
            <w:r>
              <w:rPr>
                <w:rFonts w:hint="eastAsia" w:ascii="宋体" w:hAnsi="宋体" w:eastAsia="宋体"/>
                <w:szCs w:val="21"/>
              </w:rPr>
              <w:t>王立萍</w:t>
            </w:r>
          </w:p>
        </w:tc>
        <w:tc>
          <w:tcPr>
            <w:tcW w:w="4677" w:type="dxa"/>
            <w:gridSpan w:val="2"/>
            <w:tcBorders>
              <w:top w:val="single" w:color="000000" w:sz="6" w:space="0"/>
              <w:left w:val="single" w:color="auto" w:sz="4" w:space="0"/>
              <w:bottom w:val="single" w:color="000000" w:sz="6" w:space="0"/>
              <w:right w:val="single" w:color="auto" w:sz="4" w:space="0"/>
            </w:tcBorders>
          </w:tcPr>
          <w:p>
            <w:pPr>
              <w:snapToGrid w:val="0"/>
              <w:spacing w:before="159" w:beforeLines="50"/>
            </w:pPr>
            <w:r>
              <w:rPr>
                <w:rFonts w:hint="eastAsia"/>
              </w:rPr>
              <w:t>盐酸二甲双胍原料及缓释片中二甲胺测定及其遗传毒性杂质来源分析</w:t>
            </w:r>
          </w:p>
        </w:tc>
        <w:tc>
          <w:tcPr>
            <w:tcW w:w="3686" w:type="dxa"/>
            <w:tcBorders>
              <w:top w:val="single" w:color="auto" w:sz="4" w:space="0"/>
              <w:left w:val="single" w:color="auto" w:sz="4" w:space="0"/>
              <w:right w:val="double" w:color="auto" w:sz="4" w:space="0"/>
            </w:tcBorders>
          </w:tcPr>
          <w:p>
            <w:r>
              <w:rPr>
                <w:rFonts w:hint="eastAsia"/>
              </w:rPr>
              <w:t>河南省药品医疗器械检验院（河南省化学药品质量评价与控制工程技术研究中心）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1</w:t>
            </w:r>
            <w:r>
              <w:rPr>
                <w:rFonts w:hint="eastAsia" w:cs="Times New Roman" w:asciiTheme="minorEastAsia" w:hAnsiTheme="minorEastAsia"/>
                <w:caps/>
                <w:kern w:val="0"/>
                <w:szCs w:val="21"/>
              </w:rPr>
              <w:t>5-1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w:t>
            </w:r>
          </w:p>
        </w:tc>
        <w:tc>
          <w:tcPr>
            <w:tcW w:w="994" w:type="dxa"/>
            <w:tcBorders>
              <w:top w:val="single" w:color="000000" w:sz="6" w:space="0"/>
              <w:left w:val="single" w:color="auto" w:sz="4" w:space="0"/>
              <w:bottom w:val="single" w:color="000000" w:sz="6"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吴  婷</w:t>
            </w:r>
          </w:p>
        </w:tc>
        <w:tc>
          <w:tcPr>
            <w:tcW w:w="4677" w:type="dxa"/>
            <w:gridSpan w:val="2"/>
            <w:tcBorders>
              <w:top w:val="single" w:color="000000" w:sz="6" w:space="0"/>
              <w:left w:val="single" w:color="auto" w:sz="4" w:space="0"/>
              <w:bottom w:val="single" w:color="000000" w:sz="6" w:space="0"/>
              <w:right w:val="single" w:color="auto" w:sz="4" w:space="0"/>
            </w:tcBorders>
          </w:tcPr>
          <w:p>
            <w:r>
              <w:rPr>
                <w:rFonts w:hint="eastAsia"/>
              </w:rPr>
              <w:t>结合HPLC含量测定的不确定度评定结果完善药品检测实验室风险控制体系的探讨</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广州市药品检验所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rPr>
        <w:tc>
          <w:tcPr>
            <w:tcW w:w="1428" w:type="dxa"/>
            <w:tcBorders>
              <w:top w:val="single" w:color="auto" w:sz="4" w:space="0"/>
              <w:left w:val="double" w:color="000000" w:sz="6" w:space="0"/>
              <w:right w:val="single" w:color="auto" w:sz="4" w:space="0"/>
            </w:tcBorders>
            <w:vAlign w:val="center"/>
          </w:tcPr>
          <w:p>
            <w:pPr>
              <w:adjustRightInd w:val="0"/>
              <w:snapToGrid w:val="0"/>
              <w:spacing w:before="159" w:beforeLines="50"/>
              <w:rPr>
                <w:rFonts w:cs="Times New Roman" w:asciiTheme="minorEastAsia" w:hAnsiTheme="minorEastAsia"/>
                <w:caps/>
                <w:kern w:val="0"/>
                <w:szCs w:val="21"/>
              </w:rPr>
            </w:pPr>
            <w:r>
              <w:rPr>
                <w:rFonts w:hint="eastAsia" w:cs="Times New Roman" w:asciiTheme="minorEastAsia" w:hAnsiTheme="minorEastAsia"/>
                <w:caps/>
                <w:kern w:val="0"/>
                <w:szCs w:val="21"/>
              </w:rPr>
              <w:t>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3</w:t>
            </w:r>
            <w:r>
              <w:rPr>
                <w:rFonts w:hint="eastAsia" w:cs="Times New Roman" w:asciiTheme="minorEastAsia" w:hAnsiTheme="minorEastAsia"/>
                <w:caps/>
                <w:kern w:val="0"/>
                <w:szCs w:val="21"/>
              </w:rPr>
              <w:t>0-1</w:t>
            </w:r>
            <w:r>
              <w:rPr>
                <w:rFonts w:cs="Times New Roman" w:asciiTheme="minorEastAsia" w:hAnsiTheme="minorEastAsia"/>
                <w:caps/>
                <w:kern w:val="0"/>
                <w:szCs w:val="21"/>
              </w:rPr>
              <w:t>6</w:t>
            </w:r>
            <w:r>
              <w:rPr>
                <w:rFonts w:hint="eastAsia" w:cs="Times New Roman" w:asciiTheme="minorEastAsia" w:hAnsiTheme="minorEastAsia"/>
                <w:caps/>
                <w:kern w:val="0"/>
                <w:szCs w:val="21"/>
              </w:rPr>
              <w:t>:</w:t>
            </w:r>
            <w:r>
              <w:rPr>
                <w:rFonts w:cs="Times New Roman" w:asciiTheme="minorEastAsia" w:hAnsiTheme="minorEastAsia"/>
                <w:caps/>
                <w:kern w:val="0"/>
                <w:szCs w:val="21"/>
              </w:rPr>
              <w:t>4</w:t>
            </w:r>
            <w:r>
              <w:rPr>
                <w:rFonts w:hint="eastAsia" w:cs="Times New Roman" w:asciiTheme="minorEastAsia" w:hAnsiTheme="minorEastAsia"/>
                <w:caps/>
                <w:kern w:val="0"/>
                <w:szCs w:val="21"/>
              </w:rPr>
              <w:t>5</w:t>
            </w:r>
          </w:p>
        </w:tc>
        <w:tc>
          <w:tcPr>
            <w:tcW w:w="994" w:type="dxa"/>
            <w:tcBorders>
              <w:top w:val="single" w:color="000000" w:sz="6" w:space="0"/>
              <w:left w:val="single" w:color="auto" w:sz="4" w:space="0"/>
              <w:bottom w:val="double" w:color="auto" w:sz="4" w:space="0"/>
              <w:right w:val="single" w:color="auto" w:sz="4" w:space="0"/>
            </w:tcBorders>
          </w:tcPr>
          <w:p>
            <w:pPr>
              <w:snapToGrid w:val="0"/>
              <w:spacing w:before="159" w:beforeLines="50"/>
              <w:rPr>
                <w:rFonts w:ascii="宋体" w:hAnsi="宋体" w:eastAsia="宋体"/>
                <w:szCs w:val="21"/>
              </w:rPr>
            </w:pPr>
            <w:r>
              <w:rPr>
                <w:rFonts w:hint="eastAsia" w:ascii="宋体" w:hAnsi="宋体" w:eastAsia="宋体"/>
                <w:szCs w:val="21"/>
              </w:rPr>
              <w:t>刘莉莎</w:t>
            </w:r>
          </w:p>
        </w:tc>
        <w:tc>
          <w:tcPr>
            <w:tcW w:w="4677" w:type="dxa"/>
            <w:gridSpan w:val="2"/>
            <w:tcBorders>
              <w:top w:val="single" w:color="000000" w:sz="6" w:space="0"/>
              <w:left w:val="single" w:color="auto" w:sz="4" w:space="0"/>
              <w:bottom w:val="double" w:color="auto" w:sz="4" w:space="0"/>
              <w:right w:val="single" w:color="auto" w:sz="4" w:space="0"/>
            </w:tcBorders>
          </w:tcPr>
          <w:p>
            <w:r>
              <w:rPr>
                <w:rFonts w:hint="eastAsia"/>
              </w:rPr>
              <w:t>半微量法测定氮含量能力验证及新评价方法的应用</w:t>
            </w:r>
          </w:p>
        </w:tc>
        <w:tc>
          <w:tcPr>
            <w:tcW w:w="3686" w:type="dxa"/>
            <w:tcBorders>
              <w:top w:val="single" w:color="auto" w:sz="4" w:space="0"/>
              <w:left w:val="single" w:color="auto" w:sz="4" w:space="0"/>
              <w:right w:val="double" w:color="auto" w:sz="4" w:space="0"/>
            </w:tcBorders>
          </w:tcPr>
          <w:p>
            <w:pPr>
              <w:snapToGrid w:val="0"/>
              <w:spacing w:before="159" w:beforeLines="50"/>
            </w:pPr>
            <w:r>
              <w:rPr>
                <w:rFonts w:hint="eastAsia"/>
              </w:rPr>
              <w:t>中国食品药品检定研究院</w:t>
            </w:r>
          </w:p>
        </w:tc>
      </w:tr>
    </w:tbl>
    <w:p>
      <w:pPr>
        <w:widowControl/>
        <w:jc w:val="left"/>
        <w:rPr>
          <w:rFonts w:ascii="黑体" w:hAnsi="黑体" w:eastAsia="黑体" w:cs="Times New Roman"/>
          <w:color w:val="000000" w:themeColor="text1"/>
          <w:sz w:val="32"/>
          <w:szCs w:val="32"/>
          <w14:textFill>
            <w14:solidFill>
              <w14:schemeClr w14:val="tx1"/>
            </w14:solidFill>
          </w14:textFill>
        </w:rPr>
      </w:pPr>
      <w:bookmarkStart w:id="0" w:name="_GoBack"/>
      <w:bookmarkEnd w:id="0"/>
    </w:p>
    <w:sectPr>
      <w:headerReference r:id="rId3" w:type="default"/>
      <w:footerReference r:id="rId4" w:type="default"/>
      <w:pgSz w:w="11906" w:h="16838"/>
      <w:pgMar w:top="1418" w:right="1418" w:bottom="1418" w:left="1418" w:header="851" w:footer="794" w:gutter="0"/>
      <w:cols w:space="425" w:num="1"/>
      <w:docGrid w:type="linesAndChars" w:linePitch="31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7040"/>
      <w:docPartObj>
        <w:docPartGallery w:val="autotext"/>
      </w:docPartObj>
    </w:sdtPr>
    <w:sdtEndPr>
      <w:rPr>
        <w:rFonts w:hint="eastAsia" w:ascii="仿宋_GB2312" w:eastAsia="仿宋_GB2312"/>
        <w:sz w:val="24"/>
        <w:szCs w:val="24"/>
      </w:rPr>
    </w:sdtEndPr>
    <w:sdtContent>
      <w:p>
        <w:pPr>
          <w:pStyle w:val="6"/>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MTliN2I5YmNlNzE0YmMzMzVmNTA3YjdlYThlNTEifQ=="/>
  </w:docVars>
  <w:rsids>
    <w:rsidRoot w:val="00493024"/>
    <w:rsid w:val="0001117D"/>
    <w:rsid w:val="000143F3"/>
    <w:rsid w:val="00016647"/>
    <w:rsid w:val="00016F76"/>
    <w:rsid w:val="00017214"/>
    <w:rsid w:val="00030817"/>
    <w:rsid w:val="000433FF"/>
    <w:rsid w:val="00043ABB"/>
    <w:rsid w:val="00047C83"/>
    <w:rsid w:val="000514B2"/>
    <w:rsid w:val="00051AE9"/>
    <w:rsid w:val="00053CF2"/>
    <w:rsid w:val="00056A4A"/>
    <w:rsid w:val="000615CF"/>
    <w:rsid w:val="00062F1B"/>
    <w:rsid w:val="000667E2"/>
    <w:rsid w:val="00066F0C"/>
    <w:rsid w:val="0009124A"/>
    <w:rsid w:val="00092A58"/>
    <w:rsid w:val="00093778"/>
    <w:rsid w:val="000A3B45"/>
    <w:rsid w:val="000B51B9"/>
    <w:rsid w:val="000B564B"/>
    <w:rsid w:val="000B6A99"/>
    <w:rsid w:val="000B6C4E"/>
    <w:rsid w:val="000C791F"/>
    <w:rsid w:val="000D0E65"/>
    <w:rsid w:val="000D1FDA"/>
    <w:rsid w:val="000D2EA2"/>
    <w:rsid w:val="000D6FCA"/>
    <w:rsid w:val="000E1EF1"/>
    <w:rsid w:val="000E681E"/>
    <w:rsid w:val="000F15B6"/>
    <w:rsid w:val="000F1E2A"/>
    <w:rsid w:val="000F4166"/>
    <w:rsid w:val="000F4473"/>
    <w:rsid w:val="000F5DEC"/>
    <w:rsid w:val="000F63F8"/>
    <w:rsid w:val="001067E6"/>
    <w:rsid w:val="001128F9"/>
    <w:rsid w:val="001146EE"/>
    <w:rsid w:val="00114DE9"/>
    <w:rsid w:val="00124CFC"/>
    <w:rsid w:val="001257EB"/>
    <w:rsid w:val="001260BF"/>
    <w:rsid w:val="001268F5"/>
    <w:rsid w:val="00126ADD"/>
    <w:rsid w:val="00126BBA"/>
    <w:rsid w:val="00132799"/>
    <w:rsid w:val="00141A18"/>
    <w:rsid w:val="00143D7E"/>
    <w:rsid w:val="00160E8C"/>
    <w:rsid w:val="001610A0"/>
    <w:rsid w:val="00162263"/>
    <w:rsid w:val="001624C0"/>
    <w:rsid w:val="00163551"/>
    <w:rsid w:val="00165D81"/>
    <w:rsid w:val="0017025A"/>
    <w:rsid w:val="00174D96"/>
    <w:rsid w:val="001753A8"/>
    <w:rsid w:val="0017589F"/>
    <w:rsid w:val="00175D28"/>
    <w:rsid w:val="00184A53"/>
    <w:rsid w:val="001856C5"/>
    <w:rsid w:val="00194B64"/>
    <w:rsid w:val="00194F81"/>
    <w:rsid w:val="001973BF"/>
    <w:rsid w:val="001A1969"/>
    <w:rsid w:val="001B0B45"/>
    <w:rsid w:val="001B2708"/>
    <w:rsid w:val="001B7EA3"/>
    <w:rsid w:val="001C1D5E"/>
    <w:rsid w:val="001C4E77"/>
    <w:rsid w:val="001E04F2"/>
    <w:rsid w:val="001E1330"/>
    <w:rsid w:val="001E4AD4"/>
    <w:rsid w:val="002021B9"/>
    <w:rsid w:val="00202FAF"/>
    <w:rsid w:val="00213AC3"/>
    <w:rsid w:val="00214C8A"/>
    <w:rsid w:val="00220833"/>
    <w:rsid w:val="002253FA"/>
    <w:rsid w:val="00234A36"/>
    <w:rsid w:val="00234D24"/>
    <w:rsid w:val="00235AC1"/>
    <w:rsid w:val="0024068D"/>
    <w:rsid w:val="002422EF"/>
    <w:rsid w:val="00245527"/>
    <w:rsid w:val="00251915"/>
    <w:rsid w:val="00264412"/>
    <w:rsid w:val="002647B8"/>
    <w:rsid w:val="002671F1"/>
    <w:rsid w:val="00270281"/>
    <w:rsid w:val="00276A39"/>
    <w:rsid w:val="00284230"/>
    <w:rsid w:val="00284E7D"/>
    <w:rsid w:val="002935B7"/>
    <w:rsid w:val="002A0355"/>
    <w:rsid w:val="002B227E"/>
    <w:rsid w:val="002B57A2"/>
    <w:rsid w:val="002B7BB1"/>
    <w:rsid w:val="002C189A"/>
    <w:rsid w:val="002C4F7F"/>
    <w:rsid w:val="002D239E"/>
    <w:rsid w:val="002D35B0"/>
    <w:rsid w:val="002D3B2B"/>
    <w:rsid w:val="002D3BFB"/>
    <w:rsid w:val="002D6AB8"/>
    <w:rsid w:val="002E12A0"/>
    <w:rsid w:val="002E17AE"/>
    <w:rsid w:val="002E20B3"/>
    <w:rsid w:val="002E6086"/>
    <w:rsid w:val="002E728D"/>
    <w:rsid w:val="002F4FF4"/>
    <w:rsid w:val="002F5210"/>
    <w:rsid w:val="0030360A"/>
    <w:rsid w:val="00304D60"/>
    <w:rsid w:val="003110FE"/>
    <w:rsid w:val="00312474"/>
    <w:rsid w:val="003138B5"/>
    <w:rsid w:val="00317F56"/>
    <w:rsid w:val="00321939"/>
    <w:rsid w:val="003266BD"/>
    <w:rsid w:val="003307DB"/>
    <w:rsid w:val="0033262F"/>
    <w:rsid w:val="00337A0E"/>
    <w:rsid w:val="00344732"/>
    <w:rsid w:val="00346656"/>
    <w:rsid w:val="00350A60"/>
    <w:rsid w:val="003520A6"/>
    <w:rsid w:val="0035645A"/>
    <w:rsid w:val="00356F58"/>
    <w:rsid w:val="0035709B"/>
    <w:rsid w:val="00363B5F"/>
    <w:rsid w:val="00365B58"/>
    <w:rsid w:val="003675A1"/>
    <w:rsid w:val="0036780E"/>
    <w:rsid w:val="00367E9A"/>
    <w:rsid w:val="00371661"/>
    <w:rsid w:val="003730B6"/>
    <w:rsid w:val="00374059"/>
    <w:rsid w:val="00375C6D"/>
    <w:rsid w:val="003813E4"/>
    <w:rsid w:val="003853C7"/>
    <w:rsid w:val="00391927"/>
    <w:rsid w:val="00395CA7"/>
    <w:rsid w:val="003A76CE"/>
    <w:rsid w:val="003A77A2"/>
    <w:rsid w:val="003B030F"/>
    <w:rsid w:val="003C1812"/>
    <w:rsid w:val="003C56D9"/>
    <w:rsid w:val="003C77A7"/>
    <w:rsid w:val="003D6D7A"/>
    <w:rsid w:val="003E5579"/>
    <w:rsid w:val="003E76D8"/>
    <w:rsid w:val="003F1225"/>
    <w:rsid w:val="003F2E1C"/>
    <w:rsid w:val="003F6953"/>
    <w:rsid w:val="00402151"/>
    <w:rsid w:val="00406FDD"/>
    <w:rsid w:val="0043571D"/>
    <w:rsid w:val="0043799A"/>
    <w:rsid w:val="00446EDB"/>
    <w:rsid w:val="00460730"/>
    <w:rsid w:val="004608C3"/>
    <w:rsid w:val="00461BE6"/>
    <w:rsid w:val="00464269"/>
    <w:rsid w:val="0047010B"/>
    <w:rsid w:val="00473CBF"/>
    <w:rsid w:val="0048358C"/>
    <w:rsid w:val="0048683B"/>
    <w:rsid w:val="00493024"/>
    <w:rsid w:val="00495F85"/>
    <w:rsid w:val="004A06EB"/>
    <w:rsid w:val="004A2E21"/>
    <w:rsid w:val="004A42F8"/>
    <w:rsid w:val="004A5795"/>
    <w:rsid w:val="004B6FAC"/>
    <w:rsid w:val="004C0B59"/>
    <w:rsid w:val="004C588B"/>
    <w:rsid w:val="004C7674"/>
    <w:rsid w:val="004D7057"/>
    <w:rsid w:val="004E12F5"/>
    <w:rsid w:val="004E6F16"/>
    <w:rsid w:val="005102F7"/>
    <w:rsid w:val="00515D19"/>
    <w:rsid w:val="00526DCF"/>
    <w:rsid w:val="00533413"/>
    <w:rsid w:val="00544814"/>
    <w:rsid w:val="0056356C"/>
    <w:rsid w:val="00564EDF"/>
    <w:rsid w:val="00566777"/>
    <w:rsid w:val="0057022A"/>
    <w:rsid w:val="005720DB"/>
    <w:rsid w:val="00573A93"/>
    <w:rsid w:val="00573E34"/>
    <w:rsid w:val="005749F1"/>
    <w:rsid w:val="005753EC"/>
    <w:rsid w:val="005766A5"/>
    <w:rsid w:val="0057740F"/>
    <w:rsid w:val="00577814"/>
    <w:rsid w:val="00581C85"/>
    <w:rsid w:val="005836FC"/>
    <w:rsid w:val="005909DD"/>
    <w:rsid w:val="0059359C"/>
    <w:rsid w:val="00597A48"/>
    <w:rsid w:val="005A0CF8"/>
    <w:rsid w:val="005A3E03"/>
    <w:rsid w:val="005A7F8B"/>
    <w:rsid w:val="005B0008"/>
    <w:rsid w:val="005B3032"/>
    <w:rsid w:val="005B661C"/>
    <w:rsid w:val="005B6CB5"/>
    <w:rsid w:val="005D1385"/>
    <w:rsid w:val="005E4707"/>
    <w:rsid w:val="005E602F"/>
    <w:rsid w:val="005F343C"/>
    <w:rsid w:val="005F3FB3"/>
    <w:rsid w:val="005F4495"/>
    <w:rsid w:val="005F4759"/>
    <w:rsid w:val="006077FB"/>
    <w:rsid w:val="00610023"/>
    <w:rsid w:val="006105AA"/>
    <w:rsid w:val="006125B7"/>
    <w:rsid w:val="00616CE4"/>
    <w:rsid w:val="006176DF"/>
    <w:rsid w:val="00630B0D"/>
    <w:rsid w:val="00647E12"/>
    <w:rsid w:val="00650102"/>
    <w:rsid w:val="0065035E"/>
    <w:rsid w:val="006504B3"/>
    <w:rsid w:val="0065437D"/>
    <w:rsid w:val="0066075B"/>
    <w:rsid w:val="00667633"/>
    <w:rsid w:val="0067069D"/>
    <w:rsid w:val="00680061"/>
    <w:rsid w:val="006832BD"/>
    <w:rsid w:val="0068516A"/>
    <w:rsid w:val="00694A03"/>
    <w:rsid w:val="00694FE8"/>
    <w:rsid w:val="00696E06"/>
    <w:rsid w:val="00697D0B"/>
    <w:rsid w:val="006A10EC"/>
    <w:rsid w:val="006A4F53"/>
    <w:rsid w:val="006A69D0"/>
    <w:rsid w:val="006B5D3F"/>
    <w:rsid w:val="006C2925"/>
    <w:rsid w:val="006C6AC6"/>
    <w:rsid w:val="006D10D0"/>
    <w:rsid w:val="006D223E"/>
    <w:rsid w:val="006E25C2"/>
    <w:rsid w:val="006E2E41"/>
    <w:rsid w:val="006E5812"/>
    <w:rsid w:val="006E782B"/>
    <w:rsid w:val="006F4AD3"/>
    <w:rsid w:val="006F4EC6"/>
    <w:rsid w:val="006F70E6"/>
    <w:rsid w:val="00704172"/>
    <w:rsid w:val="007048EC"/>
    <w:rsid w:val="00711E1E"/>
    <w:rsid w:val="00712F94"/>
    <w:rsid w:val="0071348A"/>
    <w:rsid w:val="00714211"/>
    <w:rsid w:val="007147EF"/>
    <w:rsid w:val="00714B42"/>
    <w:rsid w:val="00717599"/>
    <w:rsid w:val="00722046"/>
    <w:rsid w:val="00722A0F"/>
    <w:rsid w:val="007265F9"/>
    <w:rsid w:val="007304C5"/>
    <w:rsid w:val="00743600"/>
    <w:rsid w:val="00757030"/>
    <w:rsid w:val="007740C1"/>
    <w:rsid w:val="00776B25"/>
    <w:rsid w:val="007908C5"/>
    <w:rsid w:val="007916CB"/>
    <w:rsid w:val="007932A7"/>
    <w:rsid w:val="00794AB0"/>
    <w:rsid w:val="00795186"/>
    <w:rsid w:val="00796752"/>
    <w:rsid w:val="007A06B6"/>
    <w:rsid w:val="007A1F95"/>
    <w:rsid w:val="007B32D5"/>
    <w:rsid w:val="007B4463"/>
    <w:rsid w:val="007C4069"/>
    <w:rsid w:val="007C504F"/>
    <w:rsid w:val="007C5B18"/>
    <w:rsid w:val="007C7647"/>
    <w:rsid w:val="007D0A91"/>
    <w:rsid w:val="007D1AA7"/>
    <w:rsid w:val="007D2336"/>
    <w:rsid w:val="007D24A1"/>
    <w:rsid w:val="007D4203"/>
    <w:rsid w:val="007E489D"/>
    <w:rsid w:val="007F209F"/>
    <w:rsid w:val="007F2ADF"/>
    <w:rsid w:val="007F3095"/>
    <w:rsid w:val="00800C89"/>
    <w:rsid w:val="008050D9"/>
    <w:rsid w:val="00807942"/>
    <w:rsid w:val="008113BB"/>
    <w:rsid w:val="00811D80"/>
    <w:rsid w:val="00813E19"/>
    <w:rsid w:val="00816ED5"/>
    <w:rsid w:val="00817A27"/>
    <w:rsid w:val="0082270C"/>
    <w:rsid w:val="00833021"/>
    <w:rsid w:val="00833A36"/>
    <w:rsid w:val="00836917"/>
    <w:rsid w:val="0083702B"/>
    <w:rsid w:val="00842349"/>
    <w:rsid w:val="00850142"/>
    <w:rsid w:val="0085209A"/>
    <w:rsid w:val="00852A61"/>
    <w:rsid w:val="00857CB7"/>
    <w:rsid w:val="00863684"/>
    <w:rsid w:val="00864CB7"/>
    <w:rsid w:val="008709D2"/>
    <w:rsid w:val="008815F7"/>
    <w:rsid w:val="0088305B"/>
    <w:rsid w:val="00886B0A"/>
    <w:rsid w:val="00887CBF"/>
    <w:rsid w:val="00891724"/>
    <w:rsid w:val="00891789"/>
    <w:rsid w:val="00891794"/>
    <w:rsid w:val="00891D3F"/>
    <w:rsid w:val="008A1EE3"/>
    <w:rsid w:val="008A7A83"/>
    <w:rsid w:val="008B1232"/>
    <w:rsid w:val="008B2514"/>
    <w:rsid w:val="008C3A59"/>
    <w:rsid w:val="008C4627"/>
    <w:rsid w:val="008D2EE8"/>
    <w:rsid w:val="008D7B05"/>
    <w:rsid w:val="008F3DF5"/>
    <w:rsid w:val="008F669C"/>
    <w:rsid w:val="008F6FB8"/>
    <w:rsid w:val="00904C26"/>
    <w:rsid w:val="00907B2C"/>
    <w:rsid w:val="00910FF4"/>
    <w:rsid w:val="00911411"/>
    <w:rsid w:val="00911A9F"/>
    <w:rsid w:val="009121F6"/>
    <w:rsid w:val="00913142"/>
    <w:rsid w:val="00915FC5"/>
    <w:rsid w:val="00922F17"/>
    <w:rsid w:val="00932C77"/>
    <w:rsid w:val="00933346"/>
    <w:rsid w:val="00933444"/>
    <w:rsid w:val="00935470"/>
    <w:rsid w:val="00937393"/>
    <w:rsid w:val="00951B6C"/>
    <w:rsid w:val="00952C2A"/>
    <w:rsid w:val="00953DC3"/>
    <w:rsid w:val="00954203"/>
    <w:rsid w:val="00966DAC"/>
    <w:rsid w:val="00966E59"/>
    <w:rsid w:val="0097134E"/>
    <w:rsid w:val="00972699"/>
    <w:rsid w:val="0097273A"/>
    <w:rsid w:val="00973CEE"/>
    <w:rsid w:val="0097478D"/>
    <w:rsid w:val="00994525"/>
    <w:rsid w:val="009957E9"/>
    <w:rsid w:val="00995D30"/>
    <w:rsid w:val="0099691A"/>
    <w:rsid w:val="0099747D"/>
    <w:rsid w:val="009A1BDC"/>
    <w:rsid w:val="009A4B26"/>
    <w:rsid w:val="009B3E7D"/>
    <w:rsid w:val="009B59E1"/>
    <w:rsid w:val="009C45AD"/>
    <w:rsid w:val="009D5A72"/>
    <w:rsid w:val="009E5D65"/>
    <w:rsid w:val="009E61CA"/>
    <w:rsid w:val="009E71D5"/>
    <w:rsid w:val="00A12173"/>
    <w:rsid w:val="00A123D7"/>
    <w:rsid w:val="00A17C13"/>
    <w:rsid w:val="00A2736D"/>
    <w:rsid w:val="00A27A3E"/>
    <w:rsid w:val="00A30775"/>
    <w:rsid w:val="00A369C7"/>
    <w:rsid w:val="00A41529"/>
    <w:rsid w:val="00A4216E"/>
    <w:rsid w:val="00A456C4"/>
    <w:rsid w:val="00A46618"/>
    <w:rsid w:val="00A53802"/>
    <w:rsid w:val="00A5409B"/>
    <w:rsid w:val="00A557CF"/>
    <w:rsid w:val="00A6353A"/>
    <w:rsid w:val="00A658F2"/>
    <w:rsid w:val="00A67C10"/>
    <w:rsid w:val="00A81978"/>
    <w:rsid w:val="00A82281"/>
    <w:rsid w:val="00A823DB"/>
    <w:rsid w:val="00A852D4"/>
    <w:rsid w:val="00A9024A"/>
    <w:rsid w:val="00A905C7"/>
    <w:rsid w:val="00A951C7"/>
    <w:rsid w:val="00AA250F"/>
    <w:rsid w:val="00AB3D4D"/>
    <w:rsid w:val="00AC69CF"/>
    <w:rsid w:val="00AD1065"/>
    <w:rsid w:val="00AD2033"/>
    <w:rsid w:val="00AD23CF"/>
    <w:rsid w:val="00AD3E6E"/>
    <w:rsid w:val="00AD4A13"/>
    <w:rsid w:val="00AE275C"/>
    <w:rsid w:val="00AE7AC2"/>
    <w:rsid w:val="00AE7F38"/>
    <w:rsid w:val="00AF64D8"/>
    <w:rsid w:val="00B04211"/>
    <w:rsid w:val="00B17A30"/>
    <w:rsid w:val="00B2080C"/>
    <w:rsid w:val="00B22110"/>
    <w:rsid w:val="00B24483"/>
    <w:rsid w:val="00B30FEE"/>
    <w:rsid w:val="00B32182"/>
    <w:rsid w:val="00B34756"/>
    <w:rsid w:val="00B36BF8"/>
    <w:rsid w:val="00B41906"/>
    <w:rsid w:val="00B471B3"/>
    <w:rsid w:val="00B504CC"/>
    <w:rsid w:val="00B50CFF"/>
    <w:rsid w:val="00B6426A"/>
    <w:rsid w:val="00B64B12"/>
    <w:rsid w:val="00B67C19"/>
    <w:rsid w:val="00B7196A"/>
    <w:rsid w:val="00B76D76"/>
    <w:rsid w:val="00B77236"/>
    <w:rsid w:val="00B830F2"/>
    <w:rsid w:val="00B83CFE"/>
    <w:rsid w:val="00B87568"/>
    <w:rsid w:val="00B9250F"/>
    <w:rsid w:val="00B92FE0"/>
    <w:rsid w:val="00B94E9C"/>
    <w:rsid w:val="00BA6AC9"/>
    <w:rsid w:val="00BB16D4"/>
    <w:rsid w:val="00BB2C83"/>
    <w:rsid w:val="00BB3C76"/>
    <w:rsid w:val="00BC5101"/>
    <w:rsid w:val="00BC5B89"/>
    <w:rsid w:val="00BD1EF7"/>
    <w:rsid w:val="00BD342B"/>
    <w:rsid w:val="00BD4D40"/>
    <w:rsid w:val="00BD54D5"/>
    <w:rsid w:val="00BD70EB"/>
    <w:rsid w:val="00BF1639"/>
    <w:rsid w:val="00BF271C"/>
    <w:rsid w:val="00BF3BE5"/>
    <w:rsid w:val="00BF5D87"/>
    <w:rsid w:val="00C221C3"/>
    <w:rsid w:val="00C23993"/>
    <w:rsid w:val="00C24CDD"/>
    <w:rsid w:val="00C306E4"/>
    <w:rsid w:val="00C30AE2"/>
    <w:rsid w:val="00C33B74"/>
    <w:rsid w:val="00C34062"/>
    <w:rsid w:val="00C3520A"/>
    <w:rsid w:val="00C46E5A"/>
    <w:rsid w:val="00C47589"/>
    <w:rsid w:val="00C47DB6"/>
    <w:rsid w:val="00C752D8"/>
    <w:rsid w:val="00C853E2"/>
    <w:rsid w:val="00C86276"/>
    <w:rsid w:val="00C95E75"/>
    <w:rsid w:val="00C9697F"/>
    <w:rsid w:val="00C975B7"/>
    <w:rsid w:val="00CA08A0"/>
    <w:rsid w:val="00CA1241"/>
    <w:rsid w:val="00CA1BD8"/>
    <w:rsid w:val="00CA450D"/>
    <w:rsid w:val="00CC2D57"/>
    <w:rsid w:val="00CC77EB"/>
    <w:rsid w:val="00CD14BC"/>
    <w:rsid w:val="00CD78DA"/>
    <w:rsid w:val="00CE1029"/>
    <w:rsid w:val="00CE18AC"/>
    <w:rsid w:val="00CE2189"/>
    <w:rsid w:val="00CE3395"/>
    <w:rsid w:val="00CE78D1"/>
    <w:rsid w:val="00CF0387"/>
    <w:rsid w:val="00CF586B"/>
    <w:rsid w:val="00CF6C97"/>
    <w:rsid w:val="00D023B4"/>
    <w:rsid w:val="00D028F6"/>
    <w:rsid w:val="00D04F7A"/>
    <w:rsid w:val="00D1022B"/>
    <w:rsid w:val="00D13D0C"/>
    <w:rsid w:val="00D20E9F"/>
    <w:rsid w:val="00D21959"/>
    <w:rsid w:val="00D2646E"/>
    <w:rsid w:val="00D32AE0"/>
    <w:rsid w:val="00D35925"/>
    <w:rsid w:val="00D377D4"/>
    <w:rsid w:val="00D416B3"/>
    <w:rsid w:val="00D46B2A"/>
    <w:rsid w:val="00D47DA7"/>
    <w:rsid w:val="00D5643D"/>
    <w:rsid w:val="00D61894"/>
    <w:rsid w:val="00D6604D"/>
    <w:rsid w:val="00D70B65"/>
    <w:rsid w:val="00D81626"/>
    <w:rsid w:val="00D84349"/>
    <w:rsid w:val="00D94958"/>
    <w:rsid w:val="00DA0066"/>
    <w:rsid w:val="00DB520F"/>
    <w:rsid w:val="00DB6D88"/>
    <w:rsid w:val="00DD0C58"/>
    <w:rsid w:val="00DD1F10"/>
    <w:rsid w:val="00DD210A"/>
    <w:rsid w:val="00DD3514"/>
    <w:rsid w:val="00DD36ED"/>
    <w:rsid w:val="00DD44B4"/>
    <w:rsid w:val="00DE1663"/>
    <w:rsid w:val="00DE3DAA"/>
    <w:rsid w:val="00DE505D"/>
    <w:rsid w:val="00DF0668"/>
    <w:rsid w:val="00DF0BC9"/>
    <w:rsid w:val="00E005A0"/>
    <w:rsid w:val="00E0654A"/>
    <w:rsid w:val="00E12467"/>
    <w:rsid w:val="00E170D1"/>
    <w:rsid w:val="00E22B8F"/>
    <w:rsid w:val="00E22BC9"/>
    <w:rsid w:val="00E30439"/>
    <w:rsid w:val="00E3089D"/>
    <w:rsid w:val="00E36513"/>
    <w:rsid w:val="00E3743F"/>
    <w:rsid w:val="00E414B2"/>
    <w:rsid w:val="00E42E65"/>
    <w:rsid w:val="00E43F86"/>
    <w:rsid w:val="00E44F4E"/>
    <w:rsid w:val="00E5058C"/>
    <w:rsid w:val="00E54F4D"/>
    <w:rsid w:val="00E6180A"/>
    <w:rsid w:val="00E71066"/>
    <w:rsid w:val="00E72069"/>
    <w:rsid w:val="00E7525B"/>
    <w:rsid w:val="00E775C6"/>
    <w:rsid w:val="00E80147"/>
    <w:rsid w:val="00E92AEC"/>
    <w:rsid w:val="00E9727F"/>
    <w:rsid w:val="00EB38C9"/>
    <w:rsid w:val="00ED0588"/>
    <w:rsid w:val="00ED59A7"/>
    <w:rsid w:val="00EE192B"/>
    <w:rsid w:val="00EF0C5A"/>
    <w:rsid w:val="00EF10B3"/>
    <w:rsid w:val="00F04FF8"/>
    <w:rsid w:val="00F054B8"/>
    <w:rsid w:val="00F1195B"/>
    <w:rsid w:val="00F12527"/>
    <w:rsid w:val="00F17784"/>
    <w:rsid w:val="00F23D69"/>
    <w:rsid w:val="00F30EC7"/>
    <w:rsid w:val="00F43C8E"/>
    <w:rsid w:val="00F450F2"/>
    <w:rsid w:val="00F462BF"/>
    <w:rsid w:val="00F47482"/>
    <w:rsid w:val="00F47837"/>
    <w:rsid w:val="00F51330"/>
    <w:rsid w:val="00F53D5F"/>
    <w:rsid w:val="00F57EFB"/>
    <w:rsid w:val="00F6076F"/>
    <w:rsid w:val="00F71609"/>
    <w:rsid w:val="00F71846"/>
    <w:rsid w:val="00F74A4A"/>
    <w:rsid w:val="00F74A57"/>
    <w:rsid w:val="00F7536C"/>
    <w:rsid w:val="00F80462"/>
    <w:rsid w:val="00F8250B"/>
    <w:rsid w:val="00F82632"/>
    <w:rsid w:val="00F87B85"/>
    <w:rsid w:val="00F90369"/>
    <w:rsid w:val="00F95D03"/>
    <w:rsid w:val="00F96778"/>
    <w:rsid w:val="00F9743A"/>
    <w:rsid w:val="00FA072A"/>
    <w:rsid w:val="00FA35E7"/>
    <w:rsid w:val="00FA3B98"/>
    <w:rsid w:val="00FB0B81"/>
    <w:rsid w:val="00FB4D00"/>
    <w:rsid w:val="00FC50FD"/>
    <w:rsid w:val="00FC56F2"/>
    <w:rsid w:val="00FE5B03"/>
    <w:rsid w:val="00FF241E"/>
    <w:rsid w:val="00FF43BD"/>
    <w:rsid w:val="00FF4E8F"/>
    <w:rsid w:val="04427180"/>
    <w:rsid w:val="0C237F60"/>
    <w:rsid w:val="19DD130F"/>
    <w:rsid w:val="1AD550F4"/>
    <w:rsid w:val="1C486F7A"/>
    <w:rsid w:val="36392CD7"/>
    <w:rsid w:val="44D10ECE"/>
    <w:rsid w:val="49604FB7"/>
    <w:rsid w:val="59244AA2"/>
    <w:rsid w:val="67FC3CB5"/>
    <w:rsid w:val="6AD67E21"/>
    <w:rsid w:val="6D886B51"/>
    <w:rsid w:val="6E504D6C"/>
    <w:rsid w:val="77693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link w:val="19"/>
    <w:unhideWhenUsed/>
    <w:qFormat/>
    <w:uiPriority w:val="0"/>
    <w:rPr>
      <w:rFonts w:ascii="宋体" w:hAnsi="Courier New" w:eastAsia="宋体"/>
      <w:kern w:val="0"/>
      <w:sz w:val="20"/>
      <w:szCs w:val="20"/>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1">
    <w:name w:val="Hyperlink"/>
    <w:basedOn w:val="10"/>
    <w:unhideWhenUsed/>
    <w:qFormat/>
    <w:uiPriority w:val="0"/>
    <w:rPr>
      <w:color w:val="0000FF"/>
      <w:u w:val="single"/>
    </w:rPr>
  </w:style>
  <w:style w:type="character" w:customStyle="1" w:styleId="12">
    <w:name w:val="页眉 字符"/>
    <w:basedOn w:val="10"/>
    <w:link w:val="7"/>
    <w:semiHidden/>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apple-converted-space"/>
    <w:basedOn w:val="10"/>
    <w:qFormat/>
    <w:uiPriority w:val="0"/>
  </w:style>
  <w:style w:type="character" w:customStyle="1" w:styleId="16">
    <w:name w:val="日期 字符"/>
    <w:basedOn w:val="10"/>
    <w:link w:val="4"/>
    <w:semiHidden/>
    <w:qFormat/>
    <w:uiPriority w:val="99"/>
    <w:rPr>
      <w:kern w:val="2"/>
      <w:sz w:val="21"/>
      <w:szCs w:val="22"/>
    </w:rPr>
  </w:style>
  <w:style w:type="character" w:customStyle="1" w:styleId="17">
    <w:name w:val="批注框文本 字符"/>
    <w:basedOn w:val="10"/>
    <w:link w:val="5"/>
    <w:semiHidden/>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纯文本 字符"/>
    <w:basedOn w:val="10"/>
    <w:link w:val="3"/>
    <w:qFormat/>
    <w:locked/>
    <w:uiPriority w:val="0"/>
    <w:rPr>
      <w:rFonts w:ascii="宋体" w:hAnsi="Courier New" w:eastAsia="宋体"/>
    </w:rPr>
  </w:style>
  <w:style w:type="character" w:customStyle="1" w:styleId="20">
    <w:name w:val="纯文本 字符1"/>
    <w:basedOn w:val="10"/>
    <w:semiHidden/>
    <w:qFormat/>
    <w:uiPriority w:val="99"/>
    <w:rPr>
      <w:rFonts w:hAnsi="Courier New" w:cs="Courier New" w:asciiTheme="minorEastAsia"/>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A211-6D98-4305-A837-6A7A6D87B5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3369</Words>
  <Characters>4128</Characters>
  <Lines>34</Lines>
  <Paragraphs>9</Paragraphs>
  <TotalTime>855</TotalTime>
  <ScaleCrop>false</ScaleCrop>
  <LinksUpToDate>false</LinksUpToDate>
  <CharactersWithSpaces>4323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2022-07-08T05:49:00Z</dcterms:created>
  <dc:creator>张佳佳</dc:creator>
  <cp:lastModifiedBy>GHY</cp:lastModifiedBy>
  <cp:lastPrinted>2022-08-24T01:02:00Z</cp:lastPrinted>
  <dcterms:modified xsi:type="dcterms:W3CDTF">2022-08-24T02:45:44Z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AA2AD43F74B54FFDBA26E3BA66ED9F70</vt:lpwstr>
  </property>
</Properties>
</file>