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55" w:rsidRPr="008E1D55" w:rsidRDefault="008E1D55" w:rsidP="00101065">
      <w:pPr>
        <w:ind w:leftChars="-607" w:left="-1275"/>
        <w:rPr>
          <w:rFonts w:ascii="Times New Roman" w:eastAsia="黑体" w:hAnsi="Times New Roman" w:cs="Times New Roman"/>
          <w:bCs/>
          <w:sz w:val="32"/>
          <w:szCs w:val="32"/>
        </w:rPr>
      </w:pPr>
      <w:bookmarkStart w:id="0" w:name="_GoBack"/>
      <w:bookmarkEnd w:id="0"/>
      <w:r w:rsidRPr="008E1D55">
        <w:rPr>
          <w:rFonts w:ascii="Times New Roman" w:eastAsia="黑体" w:hAnsi="Times New Roman" w:cs="Times New Roman"/>
          <w:bCs/>
          <w:sz w:val="32"/>
          <w:szCs w:val="32"/>
        </w:rPr>
        <w:t>附件</w:t>
      </w:r>
    </w:p>
    <w:p w:rsidR="001E4F5D" w:rsidRPr="008E1D55" w:rsidRDefault="00053BBD">
      <w:pPr>
        <w:rPr>
          <w:rFonts w:ascii="Times New Roman" w:eastAsia="方正小标宋简体" w:hAnsi="Times New Roman" w:cs="Times New Roman"/>
          <w:bCs/>
          <w:sz w:val="36"/>
          <w:szCs w:val="36"/>
        </w:rPr>
      </w:pPr>
      <w:r w:rsidRPr="008E1D55">
        <w:rPr>
          <w:rFonts w:ascii="Times New Roman" w:eastAsia="方正小标宋简体" w:hAnsi="Times New Roman" w:cs="Times New Roman"/>
          <w:bCs/>
          <w:sz w:val="36"/>
          <w:szCs w:val="36"/>
        </w:rPr>
        <w:t>202</w:t>
      </w:r>
      <w:r w:rsidRPr="008E1D55">
        <w:rPr>
          <w:rFonts w:ascii="Times New Roman" w:eastAsia="方正小标宋简体" w:hAnsi="Times New Roman" w:cs="Times New Roman"/>
          <w:bCs/>
          <w:sz w:val="36"/>
          <w:szCs w:val="36"/>
        </w:rPr>
        <w:t>5</w:t>
      </w:r>
      <w:r w:rsidRPr="008E1D55">
        <w:rPr>
          <w:rFonts w:ascii="Times New Roman" w:eastAsia="方正小标宋简体" w:hAnsi="Times New Roman" w:cs="Times New Roman"/>
          <w:bCs/>
          <w:sz w:val="36"/>
          <w:szCs w:val="36"/>
        </w:rPr>
        <w:t>年中国药学会医院药学专业委员会医院药学</w:t>
      </w:r>
    </w:p>
    <w:p w:rsidR="001E4F5D" w:rsidRPr="008E1D55" w:rsidRDefault="00053BBD">
      <w:pPr>
        <w:jc w:val="center"/>
        <w:rPr>
          <w:rFonts w:ascii="Times New Roman" w:eastAsia="方正小标宋简体" w:hAnsi="Times New Roman" w:cs="Times New Roman"/>
          <w:b/>
          <w:szCs w:val="21"/>
        </w:rPr>
      </w:pPr>
      <w:r w:rsidRPr="008E1D55">
        <w:rPr>
          <w:rFonts w:ascii="Times New Roman" w:eastAsia="方正小标宋简体" w:hAnsi="Times New Roman" w:cs="Times New Roman"/>
          <w:bCs/>
          <w:sz w:val="36"/>
          <w:szCs w:val="36"/>
        </w:rPr>
        <w:t>科研专项</w:t>
      </w:r>
      <w:r w:rsidR="008E1D55">
        <w:rPr>
          <w:rFonts w:ascii="Times New Roman" w:eastAsia="方正小标宋简体" w:hAnsi="Times New Roman" w:cs="Times New Roman" w:hint="eastAsia"/>
          <w:bCs/>
          <w:sz w:val="36"/>
          <w:szCs w:val="36"/>
        </w:rPr>
        <w:t>拟</w:t>
      </w:r>
      <w:r w:rsidRPr="008E1D55">
        <w:rPr>
          <w:rFonts w:ascii="Times New Roman" w:eastAsia="方正小标宋简体" w:hAnsi="Times New Roman" w:cs="Times New Roman"/>
          <w:bCs/>
          <w:sz w:val="36"/>
          <w:szCs w:val="36"/>
        </w:rPr>
        <w:t>资助项目</w:t>
      </w:r>
    </w:p>
    <w:tbl>
      <w:tblPr>
        <w:tblpPr w:leftFromText="180" w:rightFromText="180" w:vertAnchor="text" w:horzAnchor="page" w:tblpX="673" w:tblpY="299"/>
        <w:tblOverlap w:val="neve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56"/>
        <w:gridCol w:w="5500"/>
        <w:gridCol w:w="1842"/>
        <w:gridCol w:w="1497"/>
      </w:tblGrid>
      <w:tr w:rsidR="001E4F5D" w:rsidRPr="008E1D55" w:rsidTr="00101065">
        <w:trPr>
          <w:trHeight w:val="794"/>
        </w:trPr>
        <w:tc>
          <w:tcPr>
            <w:tcW w:w="1276" w:type="dxa"/>
            <w:shd w:val="clear" w:color="auto" w:fill="auto"/>
            <w:vAlign w:val="center"/>
          </w:tcPr>
          <w:p w:rsidR="001E4F5D" w:rsidRPr="008E1D55" w:rsidRDefault="00053BBD" w:rsidP="00101065">
            <w:pPr>
              <w:widowControl/>
              <w:adjustRightInd w:val="0"/>
              <w:snapToGrid w:val="0"/>
              <w:jc w:val="center"/>
              <w:rPr>
                <w:rFonts w:ascii="Times New Roman" w:eastAsia="黑体" w:hAnsi="Times New Roman" w:cs="Times New Roman"/>
                <w:bCs/>
                <w:color w:val="000000"/>
                <w:kern w:val="0"/>
                <w:sz w:val="24"/>
              </w:rPr>
            </w:pPr>
            <w:r w:rsidRPr="008E1D55">
              <w:rPr>
                <w:rFonts w:ascii="Times New Roman" w:eastAsia="黑体" w:hAnsi="Times New Roman" w:cs="Times New Roman"/>
                <w:bCs/>
                <w:color w:val="000000"/>
                <w:kern w:val="0"/>
                <w:sz w:val="24"/>
              </w:rPr>
              <w:t>项目类型</w:t>
            </w:r>
          </w:p>
        </w:tc>
        <w:tc>
          <w:tcPr>
            <w:tcW w:w="756" w:type="dxa"/>
            <w:shd w:val="clear" w:color="auto" w:fill="auto"/>
            <w:noWrap/>
            <w:vAlign w:val="center"/>
          </w:tcPr>
          <w:p w:rsidR="001E4F5D" w:rsidRPr="008E1D55" w:rsidRDefault="00053BBD" w:rsidP="00101065">
            <w:pPr>
              <w:widowControl/>
              <w:adjustRightInd w:val="0"/>
              <w:snapToGrid w:val="0"/>
              <w:jc w:val="center"/>
              <w:rPr>
                <w:rFonts w:ascii="Times New Roman" w:eastAsia="黑体" w:hAnsi="Times New Roman" w:cs="Times New Roman"/>
                <w:bCs/>
                <w:color w:val="000000"/>
                <w:kern w:val="0"/>
                <w:sz w:val="24"/>
              </w:rPr>
            </w:pPr>
            <w:r w:rsidRPr="008E1D55">
              <w:rPr>
                <w:rFonts w:ascii="Times New Roman" w:eastAsia="黑体" w:hAnsi="Times New Roman" w:cs="Times New Roman"/>
                <w:bCs/>
                <w:color w:val="000000"/>
                <w:kern w:val="0"/>
                <w:sz w:val="24"/>
              </w:rPr>
              <w:t>序号</w:t>
            </w:r>
          </w:p>
        </w:tc>
        <w:tc>
          <w:tcPr>
            <w:tcW w:w="5500" w:type="dxa"/>
            <w:shd w:val="clear" w:color="auto" w:fill="auto"/>
            <w:noWrap/>
            <w:vAlign w:val="center"/>
          </w:tcPr>
          <w:p w:rsidR="001E4F5D" w:rsidRPr="008E1D55" w:rsidRDefault="00053BBD" w:rsidP="00101065">
            <w:pPr>
              <w:widowControl/>
              <w:adjustRightInd w:val="0"/>
              <w:snapToGrid w:val="0"/>
              <w:jc w:val="center"/>
              <w:rPr>
                <w:rFonts w:ascii="Times New Roman" w:eastAsia="黑体" w:hAnsi="Times New Roman" w:cs="Times New Roman"/>
                <w:bCs/>
                <w:color w:val="000000"/>
                <w:kern w:val="0"/>
                <w:sz w:val="24"/>
              </w:rPr>
            </w:pPr>
            <w:r w:rsidRPr="008E1D55">
              <w:rPr>
                <w:rFonts w:ascii="Times New Roman" w:eastAsia="黑体" w:hAnsi="Times New Roman" w:cs="Times New Roman"/>
                <w:bCs/>
                <w:color w:val="000000"/>
                <w:kern w:val="0"/>
                <w:sz w:val="24"/>
              </w:rPr>
              <w:t>项目名称</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黑体" w:hAnsi="Times New Roman" w:cs="Times New Roman"/>
                <w:bCs/>
                <w:color w:val="000000"/>
                <w:kern w:val="0"/>
                <w:sz w:val="24"/>
              </w:rPr>
            </w:pPr>
            <w:r w:rsidRPr="008E1D55">
              <w:rPr>
                <w:rFonts w:ascii="Times New Roman" w:eastAsia="黑体" w:hAnsi="Times New Roman" w:cs="Times New Roman"/>
                <w:bCs/>
                <w:color w:val="000000"/>
                <w:kern w:val="0"/>
                <w:sz w:val="24"/>
              </w:rPr>
              <w:t>单位</w:t>
            </w:r>
          </w:p>
        </w:tc>
        <w:tc>
          <w:tcPr>
            <w:tcW w:w="1497" w:type="dxa"/>
            <w:vAlign w:val="center"/>
          </w:tcPr>
          <w:p w:rsidR="001E4F5D" w:rsidRPr="008E1D55" w:rsidRDefault="00053BBD" w:rsidP="00101065">
            <w:pPr>
              <w:widowControl/>
              <w:adjustRightInd w:val="0"/>
              <w:snapToGrid w:val="0"/>
              <w:jc w:val="center"/>
              <w:rPr>
                <w:rFonts w:ascii="Times New Roman" w:eastAsia="黑体" w:hAnsi="Times New Roman" w:cs="Times New Roman"/>
                <w:bCs/>
                <w:color w:val="000000"/>
                <w:kern w:val="0"/>
                <w:sz w:val="24"/>
              </w:rPr>
            </w:pPr>
            <w:r w:rsidRPr="008E1D55">
              <w:rPr>
                <w:rFonts w:ascii="Times New Roman" w:eastAsia="黑体" w:hAnsi="Times New Roman" w:cs="Times New Roman"/>
                <w:bCs/>
                <w:color w:val="000000"/>
                <w:kern w:val="0"/>
                <w:sz w:val="24"/>
              </w:rPr>
              <w:t>项目负责人</w:t>
            </w:r>
          </w:p>
        </w:tc>
      </w:tr>
      <w:tr w:rsidR="001E4F5D" w:rsidRPr="008E1D55" w:rsidTr="00101065">
        <w:trPr>
          <w:trHeight w:val="737"/>
        </w:trPr>
        <w:tc>
          <w:tcPr>
            <w:tcW w:w="1276" w:type="dxa"/>
            <w:shd w:val="clear" w:color="auto" w:fill="auto"/>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重点</w:t>
            </w:r>
            <w:r w:rsidRPr="008E1D55">
              <w:rPr>
                <w:rFonts w:ascii="Times New Roman" w:eastAsia="仿宋_GB2312" w:hAnsi="Times New Roman" w:cs="Times New Roman"/>
                <w:sz w:val="24"/>
              </w:rPr>
              <w:t>项目</w:t>
            </w:r>
          </w:p>
          <w:p w:rsidR="001E4F5D" w:rsidRPr="008E1D55" w:rsidRDefault="00053BBD" w:rsidP="00101065">
            <w:pPr>
              <w:widowControl/>
              <w:adjustRightInd w:val="0"/>
              <w:snapToGrid w:val="0"/>
              <w:jc w:val="center"/>
              <w:rPr>
                <w:rFonts w:ascii="Times New Roman" w:eastAsia="黑体" w:hAnsi="Times New Roman" w:cs="Times New Roman"/>
                <w:bCs/>
                <w:color w:val="000000"/>
                <w:kern w:val="0"/>
                <w:sz w:val="24"/>
              </w:rPr>
            </w:pPr>
            <w:r w:rsidRPr="008E1D55">
              <w:rPr>
                <w:rFonts w:ascii="Times New Roman" w:eastAsia="仿宋_GB2312" w:hAnsi="Times New Roman" w:cs="Times New Roman"/>
                <w:spacing w:val="-6"/>
                <w:sz w:val="24"/>
              </w:rPr>
              <w:t>(1</w:t>
            </w:r>
            <w:r w:rsidRPr="008E1D55">
              <w:rPr>
                <w:rFonts w:ascii="Times New Roman" w:eastAsia="仿宋_GB2312" w:hAnsi="Times New Roman" w:cs="Times New Roman"/>
                <w:spacing w:val="-6"/>
                <w:sz w:val="24"/>
              </w:rPr>
              <w:t>项</w:t>
            </w:r>
            <w:r w:rsidRPr="008E1D55">
              <w:rPr>
                <w:rFonts w:ascii="Times New Roman" w:eastAsia="仿宋_GB2312" w:hAnsi="Times New Roman" w:cs="Times New Roman"/>
                <w:spacing w:val="-6"/>
                <w:sz w:val="24"/>
              </w:rPr>
              <w:t>)</w:t>
            </w: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基于表观遗传调控—血管微环境重塑策略的</w:t>
            </w:r>
            <w:r w:rsidRPr="008E1D55">
              <w:rPr>
                <w:rFonts w:ascii="仿宋_GB2312" w:eastAsia="仿宋_GB2312" w:hAnsi="Times New Roman" w:cs="Times New Roman" w:hint="eastAsia"/>
                <w:sz w:val="24"/>
                <w:szCs w:val="24"/>
              </w:rPr>
              <w:t>CLEC14A</w:t>
            </w:r>
            <w:r w:rsidRPr="008E1D55">
              <w:rPr>
                <w:rFonts w:ascii="仿宋_GB2312" w:eastAsia="仿宋_GB2312" w:hAnsi="Times New Roman" w:cs="Times New Roman" w:hint="eastAsia"/>
                <w:sz w:val="24"/>
                <w:szCs w:val="24"/>
              </w:rPr>
              <w:t>多维靶向递药系统的构建及逆转结肠癌耐药机制研究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复旦大学附属肿瘤医院</w:t>
            </w:r>
          </w:p>
        </w:tc>
        <w:tc>
          <w:tcPr>
            <w:tcW w:w="1497" w:type="dxa"/>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刘继勇</w:t>
            </w:r>
          </w:p>
        </w:tc>
      </w:tr>
      <w:tr w:rsidR="001E4F5D" w:rsidRPr="008E1D55" w:rsidTr="00101065">
        <w:trPr>
          <w:trHeight w:val="737"/>
        </w:trPr>
        <w:tc>
          <w:tcPr>
            <w:tcW w:w="1276" w:type="dxa"/>
            <w:vMerge w:val="restart"/>
            <w:shd w:val="clear" w:color="auto" w:fill="auto"/>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面上项目</w:t>
            </w:r>
          </w:p>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pacing w:val="-6"/>
                <w:sz w:val="24"/>
              </w:rPr>
              <w:t>(4</w:t>
            </w:r>
            <w:r w:rsidRPr="008E1D55">
              <w:rPr>
                <w:rFonts w:ascii="Times New Roman" w:eastAsia="仿宋_GB2312" w:hAnsi="Times New Roman" w:cs="Times New Roman"/>
                <w:spacing w:val="-6"/>
                <w:sz w:val="24"/>
              </w:rPr>
              <w:t>项</w:t>
            </w:r>
            <w:r w:rsidRPr="008E1D55">
              <w:rPr>
                <w:rFonts w:ascii="Times New Roman" w:eastAsia="仿宋_GB2312" w:hAnsi="Times New Roman" w:cs="Times New Roman"/>
                <w:spacing w:val="-6"/>
                <w:sz w:val="24"/>
              </w:rPr>
              <w:t>)</w:t>
            </w: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2</w:t>
            </w:r>
          </w:p>
        </w:tc>
        <w:tc>
          <w:tcPr>
            <w:tcW w:w="5500" w:type="dxa"/>
            <w:shd w:val="clear" w:color="auto" w:fill="auto"/>
            <w:noWrap/>
            <w:vAlign w:val="center"/>
          </w:tcPr>
          <w:p w:rsidR="001E4F5D" w:rsidRPr="008E1D55" w:rsidRDefault="00053BBD" w:rsidP="00101065">
            <w:pPr>
              <w:jc w:val="center"/>
              <w:rPr>
                <w:rFonts w:ascii="仿宋_GB2312" w:eastAsia="仿宋_GB2312" w:hAnsi="Times New Roman" w:cs="Times New Roman" w:hint="eastAsia"/>
                <w:color w:val="000000"/>
                <w:sz w:val="24"/>
              </w:rPr>
            </w:pPr>
            <w:r w:rsidRPr="008E1D55">
              <w:rPr>
                <w:rFonts w:ascii="仿宋_GB2312" w:eastAsia="仿宋_GB2312" w:hAnsi="Times New Roman" w:cs="Times New Roman" w:hint="eastAsia"/>
                <w:sz w:val="24"/>
                <w:szCs w:val="24"/>
              </w:rPr>
              <w:t>化合物</w:t>
            </w:r>
            <w:r w:rsidRPr="008E1D55">
              <w:rPr>
                <w:rFonts w:ascii="仿宋_GB2312" w:eastAsia="仿宋_GB2312" w:hAnsi="Times New Roman" w:cs="Times New Roman" w:hint="eastAsia"/>
                <w:sz w:val="24"/>
                <w:szCs w:val="24"/>
              </w:rPr>
              <w:t>20C</w:t>
            </w:r>
            <w:r w:rsidRPr="008E1D55">
              <w:rPr>
                <w:rFonts w:ascii="仿宋_GB2312" w:eastAsia="仿宋_GB2312" w:hAnsi="Times New Roman" w:cs="Times New Roman" w:hint="eastAsia"/>
                <w:sz w:val="24"/>
                <w:szCs w:val="24"/>
              </w:rPr>
              <w:t>通过抑制</w:t>
            </w:r>
            <w:r w:rsidRPr="008E1D55">
              <w:rPr>
                <w:rFonts w:ascii="仿宋_GB2312" w:eastAsia="仿宋_GB2312" w:hAnsi="Times New Roman" w:cs="Times New Roman" w:hint="eastAsia"/>
                <w:sz w:val="24"/>
                <w:szCs w:val="24"/>
              </w:rPr>
              <w:t>INPP5D</w:t>
            </w:r>
            <w:proofErr w:type="gramStart"/>
            <w:r w:rsidRPr="008E1D55">
              <w:rPr>
                <w:rFonts w:ascii="仿宋_GB2312" w:eastAsia="仿宋_GB2312" w:hAnsi="Times New Roman" w:cs="Times New Roman" w:hint="eastAsia"/>
                <w:sz w:val="24"/>
                <w:szCs w:val="24"/>
              </w:rPr>
              <w:t>介</w:t>
            </w:r>
            <w:proofErr w:type="gramEnd"/>
            <w:r w:rsidRPr="008E1D55">
              <w:rPr>
                <w:rFonts w:ascii="仿宋_GB2312" w:eastAsia="仿宋_GB2312" w:hAnsi="Times New Roman" w:cs="Times New Roman" w:hint="eastAsia"/>
                <w:sz w:val="24"/>
                <w:szCs w:val="24"/>
              </w:rPr>
              <w:t>导的小胶质细胞自噬障碍发挥抗</w:t>
            </w:r>
            <w:r w:rsidRPr="008E1D55">
              <w:rPr>
                <w:rFonts w:ascii="仿宋_GB2312" w:eastAsia="仿宋_GB2312" w:hAnsi="Times New Roman" w:cs="Times New Roman" w:hint="eastAsia"/>
                <w:sz w:val="24"/>
                <w:szCs w:val="24"/>
              </w:rPr>
              <w:t>PD</w:t>
            </w:r>
            <w:r w:rsidRPr="008E1D55">
              <w:rPr>
                <w:rFonts w:ascii="仿宋_GB2312" w:eastAsia="仿宋_GB2312" w:hAnsi="Times New Roman" w:cs="Times New Roman" w:hint="eastAsia"/>
                <w:sz w:val="24"/>
                <w:szCs w:val="24"/>
              </w:rPr>
              <w:t>作用的机制研究</w:t>
            </w:r>
          </w:p>
        </w:tc>
        <w:tc>
          <w:tcPr>
            <w:tcW w:w="1842" w:type="dxa"/>
            <w:shd w:val="clear" w:color="auto" w:fill="auto"/>
            <w:noWrap/>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中国医学科学院肿瘤医院</w:t>
            </w:r>
          </w:p>
        </w:tc>
        <w:tc>
          <w:tcPr>
            <w:tcW w:w="1497" w:type="dxa"/>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闫加庆</w:t>
            </w:r>
          </w:p>
        </w:tc>
      </w:tr>
      <w:tr w:rsidR="001E4F5D" w:rsidRPr="008E1D55" w:rsidTr="00101065">
        <w:trPr>
          <w:trHeight w:val="737"/>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3</w:t>
            </w:r>
          </w:p>
        </w:tc>
        <w:tc>
          <w:tcPr>
            <w:tcW w:w="5500" w:type="dxa"/>
            <w:shd w:val="clear" w:color="auto" w:fill="auto"/>
            <w:noWrap/>
            <w:vAlign w:val="center"/>
          </w:tcPr>
          <w:p w:rsidR="001E4F5D" w:rsidRPr="008E1D55" w:rsidRDefault="00053BBD" w:rsidP="00101065">
            <w:pPr>
              <w:jc w:val="center"/>
              <w:rPr>
                <w:rFonts w:ascii="仿宋_GB2312" w:eastAsia="仿宋_GB2312" w:hAnsi="Times New Roman" w:cs="Times New Roman" w:hint="eastAsia"/>
                <w:color w:val="000000"/>
                <w:sz w:val="24"/>
              </w:rPr>
            </w:pPr>
            <w:r w:rsidRPr="008E1D55">
              <w:rPr>
                <w:rFonts w:ascii="仿宋_GB2312" w:eastAsia="仿宋_GB2312" w:hAnsi="Times New Roman" w:cs="Times New Roman" w:hint="eastAsia"/>
                <w:sz w:val="24"/>
                <w:szCs w:val="24"/>
              </w:rPr>
              <w:t>基于价值共创理论的老年患者处方精简多主体共同决策机制研究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四川大学华西医院</w:t>
            </w:r>
          </w:p>
        </w:tc>
        <w:tc>
          <w:tcPr>
            <w:tcW w:w="1497" w:type="dxa"/>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田方圆</w:t>
            </w:r>
          </w:p>
        </w:tc>
      </w:tr>
      <w:tr w:rsidR="001E4F5D" w:rsidRPr="008E1D55" w:rsidTr="00101065">
        <w:trPr>
          <w:trHeight w:val="737"/>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4</w:t>
            </w:r>
          </w:p>
        </w:tc>
        <w:tc>
          <w:tcPr>
            <w:tcW w:w="5500" w:type="dxa"/>
            <w:shd w:val="clear" w:color="auto" w:fill="auto"/>
            <w:noWrap/>
            <w:vAlign w:val="center"/>
          </w:tcPr>
          <w:p w:rsidR="001E4F5D" w:rsidRPr="008E1D55" w:rsidRDefault="00053BBD" w:rsidP="00101065">
            <w:pPr>
              <w:jc w:val="center"/>
              <w:rPr>
                <w:rFonts w:ascii="仿宋_GB2312" w:eastAsia="仿宋_GB2312" w:hAnsi="Times New Roman" w:cs="Times New Roman" w:hint="eastAsia"/>
                <w:color w:val="000000"/>
                <w:sz w:val="24"/>
              </w:rPr>
            </w:pPr>
            <w:r w:rsidRPr="008E1D55">
              <w:rPr>
                <w:rFonts w:ascii="仿宋_GB2312" w:eastAsia="仿宋_GB2312" w:hAnsi="Times New Roman" w:cs="Times New Roman" w:hint="eastAsia"/>
                <w:sz w:val="24"/>
                <w:szCs w:val="24"/>
              </w:rPr>
              <w:t>多组学驱动的儿童狼疮性肾炎精准用药模型：免疫微环境与霉酚酸暴露效应的整合研究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中山大学附属第一医院</w:t>
            </w:r>
          </w:p>
        </w:tc>
        <w:tc>
          <w:tcPr>
            <w:tcW w:w="1497" w:type="dxa"/>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proofErr w:type="gramStart"/>
            <w:r w:rsidRPr="008E1D55">
              <w:rPr>
                <w:rFonts w:ascii="Times New Roman" w:eastAsia="仿宋_GB2312" w:hAnsi="Times New Roman" w:cs="Times New Roman"/>
                <w:sz w:val="24"/>
              </w:rPr>
              <w:t>陈攀</w:t>
            </w:r>
            <w:proofErr w:type="gramEnd"/>
          </w:p>
        </w:tc>
      </w:tr>
      <w:tr w:rsidR="001E4F5D" w:rsidRPr="008E1D55" w:rsidTr="00101065">
        <w:trPr>
          <w:trHeight w:val="737"/>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5</w:t>
            </w:r>
          </w:p>
        </w:tc>
        <w:tc>
          <w:tcPr>
            <w:tcW w:w="5500" w:type="dxa"/>
            <w:shd w:val="clear" w:color="auto" w:fill="auto"/>
            <w:noWrap/>
            <w:vAlign w:val="center"/>
          </w:tcPr>
          <w:p w:rsidR="001E4F5D" w:rsidRPr="008E1D55" w:rsidRDefault="00053BBD" w:rsidP="00101065">
            <w:pPr>
              <w:jc w:val="center"/>
              <w:rPr>
                <w:rFonts w:ascii="仿宋_GB2312" w:eastAsia="仿宋_GB2312" w:hAnsi="Times New Roman" w:cs="Times New Roman" w:hint="eastAsia"/>
                <w:color w:val="000000"/>
                <w:sz w:val="24"/>
              </w:rPr>
            </w:pPr>
            <w:r w:rsidRPr="008E1D55">
              <w:rPr>
                <w:rFonts w:ascii="仿宋_GB2312" w:eastAsia="仿宋_GB2312" w:hAnsi="Times New Roman" w:cs="Times New Roman" w:hint="eastAsia"/>
                <w:sz w:val="24"/>
                <w:szCs w:val="24"/>
              </w:rPr>
              <w:t>视黄酸</w:t>
            </w:r>
            <w:r w:rsidRPr="008E1D55">
              <w:rPr>
                <w:rFonts w:ascii="仿宋_GB2312" w:eastAsia="仿宋_GB2312" w:hAnsi="Times New Roman" w:cs="Times New Roman" w:hint="eastAsia"/>
                <w:sz w:val="24"/>
                <w:szCs w:val="24"/>
              </w:rPr>
              <w:t>/</w:t>
            </w:r>
            <w:proofErr w:type="spellStart"/>
            <w:r w:rsidRPr="008E1D55">
              <w:rPr>
                <w:rFonts w:ascii="仿宋_GB2312" w:eastAsia="仿宋_GB2312" w:hAnsi="Times New Roman" w:cs="Times New Roman" w:hint="eastAsia"/>
                <w:sz w:val="24"/>
                <w:szCs w:val="24"/>
              </w:rPr>
              <w:t>RAR</w:t>
            </w:r>
            <w:r w:rsidRPr="008E1D55">
              <w:rPr>
                <w:rFonts w:ascii="仿宋_GB2312" w:eastAsia="仿宋_GB2312" w:hAnsi="Times New Roman" w:cs="Times New Roman" w:hint="eastAsia"/>
                <w:sz w:val="24"/>
                <w:szCs w:val="24"/>
              </w:rPr>
              <w:t>γ</w:t>
            </w:r>
            <w:proofErr w:type="spellEnd"/>
            <w:r w:rsidRPr="008E1D55">
              <w:rPr>
                <w:rFonts w:ascii="仿宋_GB2312" w:eastAsia="仿宋_GB2312" w:hAnsi="Times New Roman" w:cs="Times New Roman" w:hint="eastAsia"/>
                <w:sz w:val="24"/>
                <w:szCs w:val="24"/>
              </w:rPr>
              <w:t>信号异常促进角质形成细胞</w:t>
            </w:r>
            <w:proofErr w:type="gramStart"/>
            <w:r w:rsidRPr="008E1D55">
              <w:rPr>
                <w:rFonts w:ascii="仿宋_GB2312" w:eastAsia="仿宋_GB2312" w:hAnsi="Times New Roman" w:cs="Times New Roman" w:hint="eastAsia"/>
                <w:sz w:val="24"/>
                <w:szCs w:val="24"/>
              </w:rPr>
              <w:t>焦亡致伊马替尼</w:t>
            </w:r>
            <w:proofErr w:type="gramEnd"/>
            <w:r w:rsidRPr="008E1D55">
              <w:rPr>
                <w:rFonts w:ascii="仿宋_GB2312" w:eastAsia="仿宋_GB2312" w:hAnsi="Times New Roman" w:cs="Times New Roman" w:hint="eastAsia"/>
                <w:sz w:val="24"/>
                <w:szCs w:val="24"/>
              </w:rPr>
              <w:t>皮肤毒性的机制及干预策略研究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华中科技大学同济医学院附属协和医院</w:t>
            </w:r>
          </w:p>
        </w:tc>
        <w:tc>
          <w:tcPr>
            <w:tcW w:w="1497" w:type="dxa"/>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周红</w:t>
            </w:r>
          </w:p>
        </w:tc>
      </w:tr>
      <w:tr w:rsidR="001E4F5D" w:rsidRPr="008E1D55" w:rsidTr="00101065">
        <w:trPr>
          <w:trHeight w:val="624"/>
        </w:trPr>
        <w:tc>
          <w:tcPr>
            <w:tcW w:w="1276" w:type="dxa"/>
            <w:vMerge w:val="restart"/>
            <w:shd w:val="clear" w:color="auto" w:fill="auto"/>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青年项目</w:t>
            </w:r>
          </w:p>
          <w:p w:rsidR="001E4F5D" w:rsidRPr="008E1D55" w:rsidRDefault="00053BBD" w:rsidP="00101065">
            <w:pPr>
              <w:jc w:val="center"/>
              <w:rPr>
                <w:rFonts w:ascii="Times New Roman" w:eastAsia="仿宋_GB2312" w:hAnsi="Times New Roman" w:cs="Times New Roman"/>
                <w:spacing w:val="-10"/>
                <w:sz w:val="24"/>
              </w:rPr>
            </w:pPr>
            <w:r w:rsidRPr="008E1D55">
              <w:rPr>
                <w:rFonts w:ascii="Times New Roman" w:eastAsia="仿宋_GB2312" w:hAnsi="Times New Roman" w:cs="Times New Roman"/>
                <w:spacing w:val="-10"/>
                <w:sz w:val="24"/>
              </w:rPr>
              <w:t>(10</w:t>
            </w:r>
            <w:r w:rsidRPr="008E1D55">
              <w:rPr>
                <w:rFonts w:ascii="Times New Roman" w:eastAsia="仿宋_GB2312" w:hAnsi="Times New Roman" w:cs="Times New Roman"/>
                <w:spacing w:val="-10"/>
                <w:sz w:val="24"/>
              </w:rPr>
              <w:t>项</w:t>
            </w:r>
            <w:r w:rsidRPr="008E1D55">
              <w:rPr>
                <w:rFonts w:ascii="Times New Roman" w:eastAsia="仿宋_GB2312" w:hAnsi="Times New Roman" w:cs="Times New Roman"/>
                <w:spacing w:val="-10"/>
                <w:sz w:val="24"/>
              </w:rPr>
              <w:t>)</w:t>
            </w: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6</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基于“药学服务胜任力”提升的临床药学专业智慧虚拟实践平台的构建与应用研究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山西医科大学第二医院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任健</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7</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w:t>
            </w:r>
            <w:r w:rsidRPr="008E1D55">
              <w:rPr>
                <w:rFonts w:ascii="仿宋_GB2312" w:eastAsia="仿宋_GB2312" w:hAnsi="Times New Roman" w:cs="Times New Roman" w:hint="eastAsia"/>
                <w:sz w:val="24"/>
                <w:szCs w:val="24"/>
              </w:rPr>
              <w:t xml:space="preserve">B-SMART </w:t>
            </w:r>
            <w:r w:rsidRPr="008E1D55">
              <w:rPr>
                <w:rFonts w:ascii="仿宋_GB2312" w:eastAsia="仿宋_GB2312" w:hAnsi="Times New Roman" w:cs="Times New Roman" w:hint="eastAsia"/>
                <w:sz w:val="24"/>
                <w:szCs w:val="24"/>
              </w:rPr>
              <w:t>的住院患者静脉血栓栓塞症防治药学服务标准化体系构建及成效评估</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中南大学湘雅三医院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周凌云</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8</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溶瘤病毒联合</w:t>
            </w:r>
            <w:r w:rsidRPr="008E1D55">
              <w:rPr>
                <w:rFonts w:ascii="仿宋_GB2312" w:eastAsia="仿宋_GB2312" w:hAnsi="Times New Roman" w:cs="Times New Roman" w:hint="eastAsia"/>
                <w:sz w:val="24"/>
                <w:szCs w:val="24"/>
              </w:rPr>
              <w:t>PCSK9</w:t>
            </w:r>
            <w:r w:rsidRPr="008E1D55">
              <w:rPr>
                <w:rFonts w:ascii="仿宋_GB2312" w:eastAsia="仿宋_GB2312" w:hAnsi="Times New Roman" w:cs="Times New Roman" w:hint="eastAsia"/>
                <w:sz w:val="24"/>
                <w:szCs w:val="24"/>
              </w:rPr>
              <w:t>单抗精准治疗结直肠癌研究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广东省人民医院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肖晓</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9</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ATF5</w:t>
            </w:r>
            <w:proofErr w:type="gramStart"/>
            <w:r w:rsidRPr="008E1D55">
              <w:rPr>
                <w:rFonts w:ascii="仿宋_GB2312" w:eastAsia="仿宋_GB2312" w:hAnsi="Times New Roman" w:cs="Times New Roman" w:hint="eastAsia"/>
                <w:sz w:val="24"/>
                <w:szCs w:val="24"/>
              </w:rPr>
              <w:t>介</w:t>
            </w:r>
            <w:proofErr w:type="gramEnd"/>
            <w:r w:rsidRPr="008E1D55">
              <w:rPr>
                <w:rFonts w:ascii="仿宋_GB2312" w:eastAsia="仿宋_GB2312" w:hAnsi="Times New Roman" w:cs="Times New Roman" w:hint="eastAsia"/>
                <w:sz w:val="24"/>
                <w:szCs w:val="24"/>
              </w:rPr>
              <w:t>导脂肪酸氧化调控乳腺癌发生发展及内分泌治疗敏感性的机制研究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中南大学湘雅二医院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蒋婷</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10</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基于基因组学与药代动力学优化重症感染患者中利奈</w:t>
            </w:r>
            <w:proofErr w:type="gramStart"/>
            <w:r w:rsidRPr="008E1D55">
              <w:rPr>
                <w:rFonts w:ascii="仿宋_GB2312" w:eastAsia="仿宋_GB2312" w:hAnsi="Times New Roman" w:cs="Times New Roman" w:hint="eastAsia"/>
                <w:sz w:val="24"/>
                <w:szCs w:val="24"/>
              </w:rPr>
              <w:t>唑</w:t>
            </w:r>
            <w:proofErr w:type="gramEnd"/>
            <w:r w:rsidRPr="008E1D55">
              <w:rPr>
                <w:rFonts w:ascii="仿宋_GB2312" w:eastAsia="仿宋_GB2312" w:hAnsi="Times New Roman" w:cs="Times New Roman" w:hint="eastAsia"/>
                <w:sz w:val="24"/>
                <w:szCs w:val="24"/>
              </w:rPr>
              <w:t>胺的个体化给药策略</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苏州市立医院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徐金慧</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11</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模型引导的儿童心脏移植患者他</w:t>
            </w:r>
            <w:proofErr w:type="gramStart"/>
            <w:r w:rsidRPr="008E1D55">
              <w:rPr>
                <w:rFonts w:ascii="仿宋_GB2312" w:eastAsia="仿宋_GB2312" w:hAnsi="Times New Roman" w:cs="Times New Roman" w:hint="eastAsia"/>
                <w:sz w:val="24"/>
                <w:szCs w:val="24"/>
              </w:rPr>
              <w:t>克莫司</w:t>
            </w:r>
            <w:proofErr w:type="gramEnd"/>
            <w:r w:rsidRPr="008E1D55">
              <w:rPr>
                <w:rFonts w:ascii="仿宋_GB2312" w:eastAsia="仿宋_GB2312" w:hAnsi="Times New Roman" w:cs="Times New Roman" w:hint="eastAsia"/>
                <w:sz w:val="24"/>
                <w:szCs w:val="24"/>
              </w:rPr>
              <w:t>个体化用药研究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华中科技大学同济医学院附属协和医院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刘丽</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12</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w:t>
            </w:r>
            <w:r w:rsidRPr="008E1D55">
              <w:rPr>
                <w:rFonts w:ascii="仿宋_GB2312" w:eastAsia="仿宋_GB2312" w:hAnsi="Times New Roman" w:cs="Times New Roman" w:hint="eastAsia"/>
                <w:sz w:val="24"/>
                <w:szCs w:val="24"/>
              </w:rPr>
              <w:t>CD4+/CD8+ T</w:t>
            </w:r>
            <w:r w:rsidRPr="008E1D55">
              <w:rPr>
                <w:rFonts w:ascii="仿宋_GB2312" w:eastAsia="仿宋_GB2312" w:hAnsi="Times New Roman" w:cs="Times New Roman" w:hint="eastAsia"/>
                <w:sz w:val="24"/>
                <w:szCs w:val="24"/>
              </w:rPr>
              <w:t>细胞比率的免疫抑制剂相关肝毒性风险预测模型的建立</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南方医科大学南方医院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proofErr w:type="gramStart"/>
            <w:r w:rsidRPr="008E1D55">
              <w:rPr>
                <w:rFonts w:ascii="Times New Roman" w:eastAsia="仿宋_GB2312" w:hAnsi="Times New Roman" w:cs="Times New Roman"/>
                <w:sz w:val="24"/>
              </w:rPr>
              <w:t>林桃燕</w:t>
            </w:r>
            <w:proofErr w:type="gramEnd"/>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13</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基于色氨酸代谢与机器学习在肝肾移植术后他</w:t>
            </w:r>
            <w:proofErr w:type="gramStart"/>
            <w:r w:rsidRPr="008E1D55">
              <w:rPr>
                <w:rFonts w:ascii="仿宋_GB2312" w:eastAsia="仿宋_GB2312" w:hAnsi="Times New Roman" w:cs="Times New Roman" w:hint="eastAsia"/>
                <w:sz w:val="24"/>
                <w:szCs w:val="24"/>
              </w:rPr>
              <w:t>克莫司</w:t>
            </w:r>
            <w:proofErr w:type="gramEnd"/>
            <w:r w:rsidRPr="008E1D55">
              <w:rPr>
                <w:rFonts w:ascii="仿宋_GB2312" w:eastAsia="仿宋_GB2312" w:hAnsi="Times New Roman" w:cs="Times New Roman" w:hint="eastAsia"/>
                <w:sz w:val="24"/>
                <w:szCs w:val="24"/>
              </w:rPr>
              <w:t>肾毒性的早期预警与机制研究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北京大学第三医院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李晓娜</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14</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基于多药动态联用复杂情景的中药活血化瘀药的风险获益评价与量化决策模式研究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首都医科大学宣武医院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苏</w:t>
            </w:r>
            <w:r w:rsidRPr="008E1D55">
              <w:rPr>
                <w:rFonts w:ascii="宋体" w:eastAsia="宋体" w:hAnsi="宋体" w:cs="宋体" w:hint="eastAsia"/>
                <w:sz w:val="24"/>
              </w:rPr>
              <w:t>甦</w:t>
            </w:r>
          </w:p>
        </w:tc>
      </w:tr>
      <w:tr w:rsidR="001E4F5D" w:rsidRPr="008E1D55" w:rsidTr="00101065">
        <w:trPr>
          <w:trHeight w:val="624"/>
        </w:trPr>
        <w:tc>
          <w:tcPr>
            <w:tcW w:w="1276" w:type="dxa"/>
            <w:vMerge/>
            <w:shd w:val="clear" w:color="auto" w:fill="auto"/>
            <w:vAlign w:val="center"/>
          </w:tcPr>
          <w:p w:rsidR="001E4F5D" w:rsidRPr="008E1D55" w:rsidRDefault="001E4F5D" w:rsidP="00101065">
            <w:pPr>
              <w:jc w:val="center"/>
              <w:rPr>
                <w:rFonts w:ascii="Times New Roman" w:eastAsia="仿宋_GB2312" w:hAnsi="Times New Roman" w:cs="Times New Roman"/>
                <w:sz w:val="24"/>
              </w:rPr>
            </w:pPr>
          </w:p>
        </w:tc>
        <w:tc>
          <w:tcPr>
            <w:tcW w:w="756" w:type="dxa"/>
            <w:shd w:val="clear" w:color="auto" w:fill="auto"/>
            <w:noWrap/>
            <w:vAlign w:val="center"/>
          </w:tcPr>
          <w:p w:rsidR="001E4F5D" w:rsidRPr="008E1D55" w:rsidRDefault="00053BBD" w:rsidP="00101065">
            <w:pPr>
              <w:jc w:val="center"/>
              <w:rPr>
                <w:rFonts w:ascii="Times New Roman" w:eastAsia="仿宋_GB2312" w:hAnsi="Times New Roman" w:cs="Times New Roman"/>
                <w:sz w:val="24"/>
              </w:rPr>
            </w:pPr>
            <w:r w:rsidRPr="008E1D55">
              <w:rPr>
                <w:rFonts w:ascii="Times New Roman" w:eastAsia="仿宋_GB2312" w:hAnsi="Times New Roman" w:cs="Times New Roman"/>
                <w:sz w:val="24"/>
              </w:rPr>
              <w:t>1</w:t>
            </w:r>
            <w:r w:rsidRPr="008E1D55">
              <w:rPr>
                <w:rFonts w:ascii="Times New Roman" w:eastAsia="仿宋_GB2312" w:hAnsi="Times New Roman" w:cs="Times New Roman"/>
                <w:sz w:val="24"/>
              </w:rPr>
              <w:t>5</w:t>
            </w:r>
          </w:p>
        </w:tc>
        <w:tc>
          <w:tcPr>
            <w:tcW w:w="5500" w:type="dxa"/>
            <w:shd w:val="clear" w:color="auto" w:fill="auto"/>
            <w:noWrap/>
            <w:vAlign w:val="center"/>
          </w:tcPr>
          <w:p w:rsidR="001E4F5D" w:rsidRPr="008E1D55" w:rsidRDefault="00053BBD" w:rsidP="00101065">
            <w:pPr>
              <w:widowControl/>
              <w:adjustRightInd w:val="0"/>
              <w:snapToGrid w:val="0"/>
              <w:jc w:val="center"/>
              <w:rPr>
                <w:rFonts w:ascii="仿宋_GB2312" w:eastAsia="仿宋_GB2312" w:hAnsi="Times New Roman" w:cs="Times New Roman" w:hint="eastAsia"/>
                <w:sz w:val="24"/>
              </w:rPr>
            </w:pPr>
            <w:r w:rsidRPr="008E1D55">
              <w:rPr>
                <w:rFonts w:ascii="仿宋_GB2312" w:eastAsia="仿宋_GB2312" w:hAnsi="Times New Roman" w:cs="Times New Roman" w:hint="eastAsia"/>
                <w:sz w:val="24"/>
                <w:szCs w:val="24"/>
              </w:rPr>
              <w:t>基于真实世界数据的社区获得性肺炎肝损伤主动预警系统研究</w:t>
            </w:r>
          </w:p>
        </w:tc>
        <w:tc>
          <w:tcPr>
            <w:tcW w:w="1842"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武汉大学人民医院</w:t>
            </w:r>
          </w:p>
        </w:tc>
        <w:tc>
          <w:tcPr>
            <w:tcW w:w="1497" w:type="dxa"/>
            <w:shd w:val="clear" w:color="auto" w:fill="auto"/>
            <w:vAlign w:val="center"/>
          </w:tcPr>
          <w:p w:rsidR="001E4F5D" w:rsidRPr="008E1D55" w:rsidRDefault="00053BBD" w:rsidP="00101065">
            <w:pPr>
              <w:widowControl/>
              <w:adjustRightInd w:val="0"/>
              <w:snapToGrid w:val="0"/>
              <w:jc w:val="center"/>
              <w:rPr>
                <w:rFonts w:ascii="Times New Roman" w:eastAsia="仿宋_GB2312" w:hAnsi="Times New Roman" w:cs="Times New Roman"/>
                <w:sz w:val="24"/>
              </w:rPr>
            </w:pPr>
            <w:r w:rsidRPr="008E1D55">
              <w:rPr>
                <w:rFonts w:ascii="Times New Roman" w:eastAsia="仿宋_GB2312" w:hAnsi="Times New Roman" w:cs="Times New Roman"/>
                <w:sz w:val="24"/>
              </w:rPr>
              <w:t>熊远果</w:t>
            </w:r>
          </w:p>
        </w:tc>
      </w:tr>
    </w:tbl>
    <w:p w:rsidR="001E4F5D" w:rsidRPr="008E1D55" w:rsidRDefault="001E4F5D">
      <w:pPr>
        <w:rPr>
          <w:rFonts w:ascii="Times New Roman" w:hAnsi="Times New Roman" w:cs="Times New Roman"/>
          <w:b/>
          <w:szCs w:val="21"/>
        </w:rPr>
      </w:pPr>
    </w:p>
    <w:p w:rsidR="001E4F5D" w:rsidRPr="008E1D55" w:rsidRDefault="001E4F5D">
      <w:pPr>
        <w:spacing w:line="480" w:lineRule="auto"/>
        <w:rPr>
          <w:rFonts w:ascii="Times New Roman" w:eastAsia="仿宋_GB2312" w:hAnsi="Times New Roman" w:cs="Times New Roman"/>
          <w:b/>
          <w:color w:val="000000"/>
          <w:sz w:val="32"/>
          <w:szCs w:val="32"/>
        </w:rPr>
      </w:pPr>
    </w:p>
    <w:p w:rsidR="001E4F5D" w:rsidRPr="008E1D55" w:rsidRDefault="001E4F5D">
      <w:pPr>
        <w:rPr>
          <w:rFonts w:ascii="Times New Roman" w:hAnsi="Times New Roman" w:cs="Times New Roman"/>
        </w:rPr>
      </w:pPr>
    </w:p>
    <w:sectPr w:rsidR="001E4F5D" w:rsidRPr="008E1D55">
      <w:footerReference w:type="default" r:id="rId7"/>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BD" w:rsidRDefault="00053BBD">
      <w:r>
        <w:separator/>
      </w:r>
    </w:p>
  </w:endnote>
  <w:endnote w:type="continuationSeparator" w:id="0">
    <w:p w:rsidR="00053BBD" w:rsidRDefault="0005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F5D" w:rsidRDefault="001E4F5D">
    <w:pPr>
      <w:pStyle w:val="a3"/>
      <w:jc w:val="center"/>
      <w:rPr>
        <w:rFonts w:ascii="Times New Roman" w:hAnsi="Times New Roman" w:cs="Times New Roman"/>
        <w:sz w:val="28"/>
        <w:szCs w:val="28"/>
      </w:rPr>
    </w:pPr>
  </w:p>
  <w:p w:rsidR="001E4F5D" w:rsidRDefault="001E4F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BD" w:rsidRDefault="00053BBD">
      <w:r>
        <w:separator/>
      </w:r>
    </w:p>
  </w:footnote>
  <w:footnote w:type="continuationSeparator" w:id="0">
    <w:p w:rsidR="00053BBD" w:rsidRDefault="00053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5D"/>
    <w:rsid w:val="00053BBD"/>
    <w:rsid w:val="00101065"/>
    <w:rsid w:val="001E4F5D"/>
    <w:rsid w:val="008E1D55"/>
    <w:rsid w:val="51341E8F"/>
    <w:rsid w:val="74DA5031"/>
    <w:rsid w:val="7E13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rsid w:val="00101065"/>
    <w:rPr>
      <w:sz w:val="18"/>
      <w:szCs w:val="18"/>
    </w:rPr>
  </w:style>
  <w:style w:type="character" w:customStyle="1" w:styleId="Char">
    <w:name w:val="批注框文本 Char"/>
    <w:basedOn w:val="a0"/>
    <w:link w:val="a5"/>
    <w:rsid w:val="0010106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rsid w:val="00101065"/>
    <w:rPr>
      <w:sz w:val="18"/>
      <w:szCs w:val="18"/>
    </w:rPr>
  </w:style>
  <w:style w:type="character" w:customStyle="1" w:styleId="Char">
    <w:name w:val="批注框文本 Char"/>
    <w:basedOn w:val="a0"/>
    <w:link w:val="a5"/>
    <w:rsid w:val="0010106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xb21cn</cp:lastModifiedBy>
  <cp:revision>3</cp:revision>
  <cp:lastPrinted>2025-10-10T02:29:00Z</cp:lastPrinted>
  <dcterms:created xsi:type="dcterms:W3CDTF">2025-10-10T02:23:00Z</dcterms:created>
  <dcterms:modified xsi:type="dcterms:W3CDTF">2025-10-10T02:30:00Z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C514CC57C56D456DBA36FFA6A978F6EA</vt:lpwstr>
  </property>
</Properties>
</file>